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7551C" w14:textId="77777777" w:rsidR="00B8321B" w:rsidRDefault="00000000">
      <w:pPr>
        <w:jc w:val="center"/>
        <w:rPr>
          <w:rFonts w:ascii="Times-Bold" w:hAnsi="Times-Bold" w:cs="Times-Bold"/>
          <w:b/>
          <w:bCs/>
          <w:sz w:val="38"/>
          <w:szCs w:val="38"/>
          <w:lang w:val="en-US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en-US"/>
        </w:rPr>
        <w:t>Supplementary materials</w:t>
      </w:r>
    </w:p>
    <w:p w14:paraId="3BE7551D" w14:textId="77777777" w:rsidR="00B8321B" w:rsidRDefault="00B8321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E7551E" w14:textId="77777777" w:rsidR="00B8321B" w:rsidRDefault="00000000" w:rsidP="00A23C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Dominant height growth modeling of Aleppo pine (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Pinus halepensis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Mill.) in Beni Imloul forest, northern Algeria</w:t>
      </w:r>
    </w:p>
    <w:p w14:paraId="3BE7551F" w14:textId="77777777" w:rsidR="00B8321B" w:rsidRDefault="00B8321B" w:rsidP="00A23C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BE75520" w14:textId="50AC1006" w:rsidR="00B8321B" w:rsidRDefault="00000000" w:rsidP="00A23C7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Dalila Kherchouche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1, *</w:t>
      </w:r>
      <w:r>
        <w:rPr>
          <w:rFonts w:asciiTheme="majorBidi" w:hAnsiTheme="majorBidi" w:cstheme="majorBidi"/>
          <w:sz w:val="24"/>
          <w:szCs w:val="24"/>
          <w:lang w:val="en-US"/>
        </w:rPr>
        <w:t>, Mostefa Goubi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>
        <w:rPr>
          <w:rFonts w:asciiTheme="majorBidi" w:hAnsiTheme="majorBidi" w:cstheme="majorBidi"/>
          <w:sz w:val="24"/>
          <w:szCs w:val="24"/>
          <w:lang w:val="en-US"/>
        </w:rPr>
        <w:t>, Tahar Sghaier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>
        <w:rPr>
          <w:rFonts w:asciiTheme="majorBidi" w:hAnsiTheme="majorBidi" w:cstheme="majorBidi"/>
          <w:sz w:val="24"/>
          <w:szCs w:val="24"/>
          <w:lang w:val="en-US"/>
        </w:rPr>
        <w:t>, Abdallah Bentouati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Khedidja Zeghichi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, Said Slimani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3BE75521" w14:textId="77777777" w:rsidR="00B8321B" w:rsidRDefault="00B8321B" w:rsidP="00A23C7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BE75522" w14:textId="75454FB7" w:rsidR="00B8321B" w:rsidRDefault="00000000" w:rsidP="00A23C7E">
      <w:pPr>
        <w:spacing w:after="0" w:line="360" w:lineRule="auto"/>
        <w:jc w:val="both"/>
        <w:rPr>
          <w:rStyle w:val="Collegamentoipertestuale"/>
          <w:rFonts w:asciiTheme="majorBidi" w:eastAsia="Helvetica" w:hAnsiTheme="majorBidi" w:cstheme="majorBidi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Department of Agronomy Sciences, Institute of Veterinary and Agronomy Sciences, University of Batna 1. Street of Biskra, </w:t>
      </w:r>
      <w:r>
        <w:rPr>
          <w:rFonts w:asciiTheme="majorBidi" w:eastAsia="SimSun" w:hAnsiTheme="majorBidi" w:cstheme="majorBidi"/>
          <w:color w:val="222222"/>
          <w:sz w:val="24"/>
          <w:szCs w:val="24"/>
          <w:shd w:val="clear" w:color="auto" w:fill="FFFFFF"/>
          <w:lang w:val="en-US"/>
        </w:rPr>
        <w:t>05000 Batna</w:t>
      </w:r>
      <w:r w:rsidR="005E6956">
        <w:rPr>
          <w:rFonts w:asciiTheme="majorBidi" w:eastAsia="SimSun" w:hAnsiTheme="majorBidi" w:cstheme="majorBidi"/>
          <w:color w:val="222222"/>
          <w:sz w:val="24"/>
          <w:szCs w:val="24"/>
          <w:shd w:val="clear" w:color="auto" w:fill="FFFFFF"/>
          <w:lang w:val="en-US"/>
        </w:rPr>
        <w:t xml:space="preserve"> -</w:t>
      </w:r>
      <w:r>
        <w:rPr>
          <w:rFonts w:asciiTheme="majorBidi" w:eastAsia="SimSun" w:hAnsiTheme="majorBidi" w:cstheme="majorBidi"/>
          <w:color w:val="222222"/>
          <w:sz w:val="24"/>
          <w:szCs w:val="24"/>
          <w:shd w:val="clear" w:color="auto" w:fill="FFFFFF"/>
          <w:lang w:val="en-US"/>
        </w:rPr>
        <w:t xml:space="preserve"> Algeria</w:t>
      </w:r>
      <w:r w:rsidR="00392D87">
        <w:rPr>
          <w:rStyle w:val="Collegamentoipertestuale"/>
          <w:rFonts w:asciiTheme="majorBidi" w:eastAsia="Helvetica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</w:p>
    <w:p w14:paraId="3BE75523" w14:textId="298F9342" w:rsidR="00B8321B" w:rsidRDefault="00000000" w:rsidP="00A23C7E">
      <w:pPr>
        <w:spacing w:after="0" w:line="360" w:lineRule="auto"/>
        <w:jc w:val="both"/>
        <w:rPr>
          <w:rStyle w:val="Collegamentoipertestuale"/>
          <w:rFonts w:asciiTheme="majorBidi" w:eastAsia="Helvetica" w:hAnsiTheme="majorBidi" w:cstheme="majorBidi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2 </w:t>
      </w:r>
      <w:r>
        <w:rPr>
          <w:rFonts w:asciiTheme="majorBidi" w:hAnsiTheme="majorBidi" w:cstheme="majorBidi"/>
          <w:sz w:val="24"/>
          <w:szCs w:val="24"/>
          <w:lang w:val="en-US" w:eastAsia="zh-CN"/>
        </w:rPr>
        <w:t>University of Khenchela Abbes Laghrour, 40000 Khenchela</w:t>
      </w:r>
      <w:r w:rsidR="005E6956">
        <w:rPr>
          <w:rFonts w:asciiTheme="majorBidi" w:hAnsiTheme="majorBidi" w:cstheme="majorBidi"/>
          <w:sz w:val="24"/>
          <w:szCs w:val="24"/>
          <w:lang w:val="en-US" w:eastAsia="zh-CN"/>
        </w:rPr>
        <w:t xml:space="preserve"> -</w:t>
      </w:r>
      <w:r>
        <w:rPr>
          <w:rFonts w:asciiTheme="majorBidi" w:hAnsiTheme="majorBidi" w:cstheme="majorBidi"/>
          <w:sz w:val="24"/>
          <w:szCs w:val="24"/>
          <w:lang w:val="en-US" w:eastAsia="zh-CN"/>
        </w:rPr>
        <w:t xml:space="preserve"> Algeria </w:t>
      </w:r>
    </w:p>
    <w:p w14:paraId="3BE75524" w14:textId="1D7195E1" w:rsidR="00B8321B" w:rsidRDefault="00000000" w:rsidP="00A23C7E">
      <w:pPr>
        <w:pStyle w:val="PreformattatoHTML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Style w:val="y2iqfc"/>
          <w:rFonts w:asciiTheme="majorBidi" w:hAnsiTheme="majorBidi" w:cstheme="majorBidi"/>
          <w:sz w:val="24"/>
          <w:szCs w:val="24"/>
          <w:lang w:val="en"/>
        </w:rPr>
        <w:t xml:space="preserve">Forest Ecology Laboratory, </w:t>
      </w:r>
      <w:r>
        <w:rPr>
          <w:rFonts w:asciiTheme="majorBidi" w:hAnsiTheme="majorBidi" w:cstheme="majorBidi"/>
          <w:sz w:val="24"/>
          <w:szCs w:val="24"/>
          <w:lang w:val="en-US"/>
        </w:rPr>
        <w:t>National Research Institute of Rural Engineering, Water and Forests. Street of Hédi EL Karray, El Menzah IV, BP 10, 2080 Ariana</w:t>
      </w:r>
      <w:r w:rsidR="00392D87">
        <w:rPr>
          <w:rFonts w:asciiTheme="majorBidi" w:hAnsiTheme="majorBidi" w:cstheme="majorBidi"/>
          <w:sz w:val="24"/>
          <w:szCs w:val="24"/>
          <w:lang w:val="en-US"/>
        </w:rPr>
        <w:t xml:space="preserve"> -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Tunisia</w:t>
      </w:r>
    </w:p>
    <w:p w14:paraId="3AF5F823" w14:textId="09DBBC03" w:rsidR="00392D87" w:rsidRDefault="00000000" w:rsidP="00A23C7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4 </w:t>
      </w:r>
      <w:r>
        <w:rPr>
          <w:rFonts w:asciiTheme="majorBidi" w:hAnsiTheme="majorBidi" w:cstheme="majorBidi"/>
          <w:sz w:val="24"/>
          <w:szCs w:val="24"/>
          <w:lang w:val="en-US"/>
        </w:rPr>
        <w:t>Department of Biological Sciences, Faculty of Biological and Agricultural Sciences, University Mouloud Mammeri of Tizi Ouzou. 15000 Tizi Ouzou</w:t>
      </w:r>
      <w:r w:rsidR="00392D87">
        <w:rPr>
          <w:rFonts w:asciiTheme="majorBidi" w:hAnsiTheme="majorBidi" w:cstheme="majorBidi"/>
          <w:sz w:val="24"/>
          <w:szCs w:val="24"/>
          <w:lang w:val="en-US"/>
        </w:rPr>
        <w:t xml:space="preserve"> –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Algeria</w:t>
      </w:r>
    </w:p>
    <w:p w14:paraId="3BE75525" w14:textId="1C27B921" w:rsidR="00B8321B" w:rsidRDefault="00000000" w:rsidP="00A23C7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3BE75526" w14:textId="31781820" w:rsidR="00B8321B" w:rsidRDefault="00000000">
      <w:pPr>
        <w:rPr>
          <w:rStyle w:val="Collegamentoipertestuale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*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Corresponding author: Dalila Kherchouche -  </w:t>
      </w:r>
      <w:hyperlink r:id="rId6" w:history="1">
        <w:r>
          <w:rPr>
            <w:rStyle w:val="Collegamentoipertestuale"/>
            <w:rFonts w:asciiTheme="majorBidi" w:hAnsiTheme="majorBidi" w:cstheme="majorBidi"/>
            <w:sz w:val="24"/>
            <w:szCs w:val="24"/>
            <w:lang w:val="en-US"/>
          </w:rPr>
          <w:t>dalila.kherchouche@univ-batna.dz</w:t>
        </w:r>
      </w:hyperlink>
    </w:p>
    <w:p w14:paraId="3BE75527" w14:textId="77777777" w:rsidR="00B8321B" w:rsidRDefault="00B8321B">
      <w:pPr>
        <w:rPr>
          <w:rStyle w:val="Collegamentoipertestuale"/>
          <w:rFonts w:asciiTheme="majorBidi" w:hAnsiTheme="majorBidi" w:cstheme="majorBidi"/>
          <w:sz w:val="24"/>
          <w:szCs w:val="24"/>
          <w:lang w:val="en-US"/>
        </w:rPr>
      </w:pPr>
    </w:p>
    <w:p w14:paraId="3BE75528" w14:textId="77777777" w:rsidR="00B8321B" w:rsidRDefault="00B8321B">
      <w:pPr>
        <w:rPr>
          <w:rStyle w:val="Collegamentoipertestuale"/>
          <w:rFonts w:asciiTheme="majorBidi" w:hAnsiTheme="majorBidi" w:cstheme="majorBidi"/>
          <w:sz w:val="24"/>
          <w:szCs w:val="24"/>
          <w:lang w:val="en-US"/>
        </w:rPr>
      </w:pPr>
    </w:p>
    <w:p w14:paraId="3BE75529" w14:textId="77777777" w:rsidR="00B8321B" w:rsidRDefault="0000000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br w:type="column"/>
      </w:r>
      <w:r>
        <w:rPr>
          <w:rFonts w:asciiTheme="majorBidi" w:hAnsiTheme="majorBidi" w:cstheme="majorBidi"/>
          <w:noProof/>
          <w:sz w:val="28"/>
          <w:szCs w:val="28"/>
          <w:lang w:val="en-US"/>
        </w:rPr>
        <w:lastRenderedPageBreak/>
        <w:drawing>
          <wp:inline distT="0" distB="0" distL="114300" distR="114300" wp14:anchorId="3BE756CA" wp14:editId="3BE756CB">
            <wp:extent cx="5756275" cy="3801110"/>
            <wp:effectExtent l="0" t="0" r="15875" b="8890"/>
            <wp:docPr id="1" name="Image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552A" w14:textId="77777777" w:rsidR="00B8321B" w:rsidRDefault="00B8321B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3BE7552B" w14:textId="676DBF73" w:rsidR="00B8321B" w:rsidRDefault="00000000" w:rsidP="00A23C7E">
      <w:pPr>
        <w:spacing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A23C7E">
        <w:rPr>
          <w:rFonts w:asciiTheme="majorBidi" w:hAnsiTheme="majorBidi" w:cstheme="majorBidi"/>
          <w:b/>
          <w:bCs/>
          <w:sz w:val="28"/>
          <w:szCs w:val="28"/>
          <w:lang w:val="en-US"/>
        </w:rPr>
        <w:t>F</w:t>
      </w:r>
      <w:r w:rsidRPr="00A23C7E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igure S1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</w:t>
      </w:r>
      <w:r w:rsidR="00A23C7E">
        <w:rPr>
          <w:rFonts w:asciiTheme="majorBidi" w:hAnsiTheme="majorBidi" w:cstheme="majorBidi"/>
          <w:sz w:val="24"/>
          <w:szCs w:val="24"/>
          <w:lang w:val="en-US" w:eastAsia="fr-FR"/>
        </w:rPr>
        <w:t>- Height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-lag1-residuals and height-lag2-residuals versus height-residuals for model </w:t>
      </w:r>
    </w:p>
    <w:p w14:paraId="3BE7552C" w14:textId="77777777" w:rsidR="00B8321B" w:rsidRDefault="00000000" w:rsidP="00A23C7E">
      <w:pPr>
        <w:spacing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M6 fitted without considering the autocorrelation parameters (first column), and using </w:t>
      </w:r>
    </w:p>
    <w:p w14:paraId="3BE7552D" w14:textId="77777777" w:rsidR="00B8321B" w:rsidRDefault="00000000" w:rsidP="00A23C7E">
      <w:pPr>
        <w:spacing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continuous-time autoregressive error structures of first and second order (second and third </w:t>
      </w:r>
    </w:p>
    <w:p w14:paraId="3BE7552E" w14:textId="77777777" w:rsidR="00B8321B" w:rsidRDefault="00000000" w:rsidP="00A23C7E">
      <w:pPr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columns, resp.).</w:t>
      </w:r>
    </w:p>
    <w:p w14:paraId="3BE7552F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0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1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2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3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4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5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6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7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8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9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A" w14:textId="77777777" w:rsidR="00B8321B" w:rsidRDefault="00000000">
      <w:pPr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fr-FR"/>
        </w:rPr>
        <w:lastRenderedPageBreak/>
        <w:drawing>
          <wp:inline distT="0" distB="0" distL="114300" distR="114300" wp14:anchorId="3BE756CC" wp14:editId="3BE756CD">
            <wp:extent cx="5757545" cy="2270760"/>
            <wp:effectExtent l="0" t="0" r="14605" b="15240"/>
            <wp:docPr id="2" name="Image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Figure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553B" w14:textId="77777777" w:rsidR="00B8321B" w:rsidRDefault="00000000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1329C2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Figure S2 -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Bias and root mean square error (RMSE) in height estimation for the six tested models by 20-year age classes. </w:t>
      </w:r>
    </w:p>
    <w:p w14:paraId="3BE7553C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D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E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3F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0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1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2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3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4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5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6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7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8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9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A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B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C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D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4E" w14:textId="77777777" w:rsidR="00B8321B" w:rsidRDefault="00000000">
      <w:pPr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fr-FR"/>
        </w:rPr>
        <w:lastRenderedPageBreak/>
        <w:drawing>
          <wp:inline distT="0" distB="0" distL="114300" distR="114300" wp14:anchorId="3BE756CE" wp14:editId="3BE756CF">
            <wp:extent cx="5760085" cy="2445385"/>
            <wp:effectExtent l="0" t="0" r="12065" b="12065"/>
            <wp:docPr id="3" name="Image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Figure 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554F" w14:textId="77777777" w:rsidR="00B8321B" w:rsidRDefault="00000000" w:rsidP="001329C2">
      <w:pPr>
        <w:spacing w:after="0" w:line="360" w:lineRule="auto"/>
        <w:ind w:left="1276" w:hanging="127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329C2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Figure S3 -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QQ-probability plots of dominant height residuals (a) and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residuals versus </w:t>
      </w:r>
    </w:p>
    <w:p w14:paraId="3BE75550" w14:textId="77777777" w:rsidR="00B8321B" w:rsidRDefault="00000000" w:rsidP="001329C2">
      <w:pPr>
        <w:spacing w:after="0" w:line="360" w:lineRule="auto"/>
        <w:ind w:left="1276" w:hanging="127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predicted height (b) for model M6 (the GADA formulation of the Lundqvist-korf base </w:t>
      </w:r>
    </w:p>
    <w:p w14:paraId="3BE75551" w14:textId="77777777" w:rsidR="00B8321B" w:rsidRDefault="00000000" w:rsidP="001329C2">
      <w:pPr>
        <w:spacing w:after="0" w:line="360" w:lineRule="auto"/>
        <w:ind w:left="1276" w:hanging="1276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equation that considers two site-specific parameter) fitted with a second-order continuous-</w:t>
      </w:r>
    </w:p>
    <w:p w14:paraId="3BE75552" w14:textId="77777777" w:rsidR="00B8321B" w:rsidRDefault="00000000" w:rsidP="001329C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time autoregressive error structure (CAR(2)).</w:t>
      </w:r>
    </w:p>
    <w:p w14:paraId="3BE75553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4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5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6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7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8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9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A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B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C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D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E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5F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0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1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2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3" w14:textId="77777777" w:rsidR="00B8321B" w:rsidRDefault="00000000">
      <w:pPr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fr-FR"/>
        </w:rPr>
        <w:lastRenderedPageBreak/>
        <w:drawing>
          <wp:inline distT="0" distB="0" distL="114300" distR="114300" wp14:anchorId="3BE756D0" wp14:editId="3BE756D1">
            <wp:extent cx="5754370" cy="4258945"/>
            <wp:effectExtent l="0" t="0" r="17780" b="8255"/>
            <wp:docPr id="4" name="Image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Figure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5564" w14:textId="77777777" w:rsidR="00B8321B" w:rsidRDefault="00000000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1329C2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Figure S4 -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Plot-level estimated site index trajectories against total age using model M6 and </w:t>
      </w:r>
    </w:p>
    <w:p w14:paraId="3BE75565" w14:textId="77777777" w:rsidR="00B8321B" w:rsidRDefault="00000000">
      <w:pPr>
        <w:spacing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sz w:val="24"/>
          <w:szCs w:val="24"/>
          <w:lang w:val="en-US" w:eastAsia="fr-FR"/>
        </w:rPr>
        <w:t>The stem analysis data.</w:t>
      </w:r>
    </w:p>
    <w:p w14:paraId="3BE75566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7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8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9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A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B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C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D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E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6F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0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1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2" w14:textId="77777777" w:rsidR="00B8321B" w:rsidRDefault="00000000">
      <w:pPr>
        <w:rPr>
          <w:rFonts w:asciiTheme="majorBidi" w:hAnsiTheme="majorBidi" w:cstheme="majorBidi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fr-FR"/>
        </w:rPr>
        <w:lastRenderedPageBreak/>
        <w:drawing>
          <wp:inline distT="0" distB="0" distL="114300" distR="114300" wp14:anchorId="3BE756D2" wp14:editId="3BE756D3">
            <wp:extent cx="5760085" cy="4700905"/>
            <wp:effectExtent l="0" t="0" r="12065" b="4445"/>
            <wp:docPr id="6" name="Image 6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Figure 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5573" w14:textId="77777777" w:rsidR="00B8321B" w:rsidRDefault="00000000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 w:eastAsia="fr-FR"/>
        </w:rPr>
      </w:pPr>
      <w:r w:rsidRPr="00CD0FAA">
        <w:rPr>
          <w:rFonts w:asciiTheme="majorBidi" w:hAnsiTheme="majorBidi" w:cstheme="majorBidi"/>
          <w:b/>
          <w:bCs/>
          <w:sz w:val="24"/>
          <w:szCs w:val="24"/>
          <w:lang w:val="en-US" w:eastAsia="fr-FR"/>
        </w:rPr>
        <w:t>Figure S5 -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The comparison between the site index curves of model M6 for heights of 11 m, 13 m, 15 m and 17 m at 100 years and other curves for the same species. </w:t>
      </w:r>
      <w:r>
        <w:rPr>
          <w:rFonts w:asciiTheme="majorBidi" w:eastAsia="Times New Roman" w:hAnsiTheme="majorBidi" w:cstheme="majorBidi"/>
          <w:color w:val="231F20"/>
          <w:sz w:val="24"/>
          <w:szCs w:val="24"/>
          <w:lang w:eastAsia="fr-FR"/>
        </w:rPr>
        <w:t>(a) Bentouati et al. (2005), (b) Sghaier et Garchi (2009),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fr-FR"/>
        </w:rPr>
        <w:t xml:space="preserve"> (c) </w:t>
      </w:r>
      <w:r>
        <w:rPr>
          <w:rFonts w:ascii="Times New Roman" w:eastAsia="TimesNewRomanPSMT" w:hAnsi="Times New Roman" w:cs="Times New Roman"/>
          <w:sz w:val="24"/>
          <w:szCs w:val="24"/>
        </w:rPr>
        <w:t>Rojo-Alboreca et al. (2017).</w:t>
      </w:r>
    </w:p>
    <w:p w14:paraId="3BE75574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5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6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7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8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9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A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B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p w14:paraId="3BE7557C" w14:textId="77777777" w:rsidR="00B8321B" w:rsidRDefault="00B8321B">
      <w:pPr>
        <w:rPr>
          <w:rFonts w:asciiTheme="majorBidi" w:hAnsiTheme="majorBidi" w:cstheme="majorBidi"/>
          <w:sz w:val="24"/>
          <w:szCs w:val="24"/>
          <w:lang w:val="en-US" w:eastAsia="fr-FR"/>
        </w:rPr>
        <w:sectPr w:rsidR="00B8321B" w:rsidSect="004928D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E7557D" w14:textId="77777777" w:rsidR="00B8321B" w:rsidRDefault="0000000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D0FAA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            Table S1 -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eastAsia="fr-FR"/>
        </w:rPr>
        <w:t>Base models and ADA/GADA formulations considered for height and diameter growth modeling.</w:t>
      </w:r>
    </w:p>
    <w:tbl>
      <w:tblPr>
        <w:tblpPr w:leftFromText="141" w:rightFromText="141" w:horzAnchor="margin" w:tblpXSpec="center" w:tblpY="8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760"/>
        <w:gridCol w:w="4551"/>
        <w:gridCol w:w="3194"/>
        <w:gridCol w:w="903"/>
      </w:tblGrid>
      <w:tr w:rsidR="00B8321B" w14:paraId="3BE75583" w14:textId="77777777">
        <w:tc>
          <w:tcPr>
            <w:tcW w:w="2459" w:type="dxa"/>
          </w:tcPr>
          <w:p w14:paraId="3BE7557E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Base equation</w:t>
            </w:r>
          </w:p>
        </w:tc>
        <w:tc>
          <w:tcPr>
            <w:tcW w:w="1760" w:type="dxa"/>
          </w:tcPr>
          <w:p w14:paraId="3BE7557F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Parameter related to site</w:t>
            </w:r>
          </w:p>
        </w:tc>
        <w:tc>
          <w:tcPr>
            <w:tcW w:w="4550" w:type="dxa"/>
          </w:tcPr>
          <w:p w14:paraId="3BE75580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Solution for X with initial values (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lang w:val="en-GB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  <w:lang w:val="en-GB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lang w:val="en-GB"/>
              </w:rPr>
              <w:t>,Y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  <w:lang w:val="en-GB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3194" w:type="dxa"/>
          </w:tcPr>
          <w:p w14:paraId="3BE75581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Dynamic equation</w:t>
            </w:r>
          </w:p>
        </w:tc>
        <w:tc>
          <w:tcPr>
            <w:tcW w:w="903" w:type="dxa"/>
          </w:tcPr>
          <w:p w14:paraId="3BE75582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Model</w:t>
            </w:r>
          </w:p>
        </w:tc>
      </w:tr>
      <w:tr w:rsidR="00B8321B" w14:paraId="3BE7558C" w14:textId="77777777">
        <w:tc>
          <w:tcPr>
            <w:tcW w:w="2459" w:type="dxa"/>
            <w:vMerge w:val="restart"/>
            <w:vAlign w:val="center"/>
          </w:tcPr>
          <w:p w14:paraId="3BE75584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85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Hossfeld</w:t>
            </w:r>
          </w:p>
          <w:p w14:paraId="3BE75586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87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3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  <w:tc>
          <w:tcPr>
            <w:tcW w:w="1760" w:type="dxa"/>
            <w:vAlign w:val="center"/>
          </w:tcPr>
          <w:p w14:paraId="3BE75588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position w:val="-12"/>
                <w:sz w:val="20"/>
                <w:szCs w:val="20"/>
                <w:lang w:val="en-GB"/>
              </w:rPr>
              <w:object w:dxaOrig="675" w:dyaOrig="315" w14:anchorId="3BE756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65pt;height:15.8pt" o:ole="">
                  <v:imagedata r:id="rId12" o:title=""/>
                </v:shape>
                <o:OLEObject Type="Embed" ProgID="Equation.DSMT4" ShapeID="_x0000_i1025" DrawAspect="Content" ObjectID="_1767428471" r:id="rId13"/>
              </w:object>
            </w:r>
          </w:p>
        </w:tc>
        <w:tc>
          <w:tcPr>
            <w:tcW w:w="4550" w:type="dxa"/>
            <w:vAlign w:val="center"/>
          </w:tcPr>
          <w:p w14:paraId="3BE75589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Theme="majorBidi" w:cstheme="majorBidi"/>
                    <w:sz w:val="20"/>
                    <w:szCs w:val="20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up>
                </m:sSubSup>
                <m:d>
                  <m:d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0</m:t>
                            </m:r>
                          </m:sub>
                        </m:sSub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en>
                    </m:f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3194" w:type="dxa"/>
            <w:vAlign w:val="center"/>
          </w:tcPr>
          <w:p w14:paraId="3BE7558A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0"/>
                                        <w:szCs w:val="20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3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  <w:tc>
          <w:tcPr>
            <w:tcW w:w="903" w:type="dxa"/>
            <w:vAlign w:val="center"/>
          </w:tcPr>
          <w:p w14:paraId="3BE7558B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M1</w:t>
            </w:r>
          </w:p>
        </w:tc>
      </w:tr>
      <w:tr w:rsidR="00B8321B" w14:paraId="3BE75592" w14:textId="77777777">
        <w:tc>
          <w:tcPr>
            <w:tcW w:w="2459" w:type="dxa"/>
            <w:vMerge/>
            <w:vAlign w:val="center"/>
          </w:tcPr>
          <w:p w14:paraId="3BE7558D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14:paraId="3BE7558E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position w:val="-36"/>
                <w:sz w:val="20"/>
                <w:szCs w:val="20"/>
                <w:lang w:val="en-GB"/>
              </w:rPr>
              <w:object w:dxaOrig="1140" w:dyaOrig="720" w14:anchorId="3BE756D5">
                <v:shape id="_x0000_i1026" type="#_x0000_t75" style="width:56.95pt;height:36pt" o:ole="">
                  <v:imagedata r:id="rId14" o:title=""/>
                </v:shape>
                <o:OLEObject Type="Embed" ProgID="Equation.DSMT4" ShapeID="_x0000_i1026" DrawAspect="Content" ObjectID="_1767428472" r:id="rId15"/>
              </w:object>
            </w:r>
          </w:p>
        </w:tc>
        <w:tc>
          <w:tcPr>
            <w:tcW w:w="4550" w:type="dxa"/>
            <w:vAlign w:val="center"/>
          </w:tcPr>
          <w:p w14:paraId="3BE7558F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-b3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3194" w:type="dxa"/>
            <w:vAlign w:val="center"/>
          </w:tcPr>
          <w:p w14:paraId="3BE75590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Theme="majorBidi" w:cstheme="majorBidi"/>
                    <w:sz w:val="20"/>
                    <w:szCs w:val="20"/>
                    <w:lang w:val="en-GB"/>
                  </w:rPr>
                  <m:t>Y=</m:t>
                </m:r>
                <m:f>
                  <m:f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GB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m:t>3</m:t>
                            </m:r>
                          </m:sub>
                        </m:sSub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den>
                </m:f>
              </m:oMath>
            </m:oMathPara>
          </w:p>
        </w:tc>
        <w:tc>
          <w:tcPr>
            <w:tcW w:w="903" w:type="dxa"/>
            <w:vAlign w:val="center"/>
          </w:tcPr>
          <w:p w14:paraId="3BE75591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M2</w:t>
            </w:r>
          </w:p>
        </w:tc>
      </w:tr>
      <w:tr w:rsidR="00B8321B" w14:paraId="3BE7559C" w14:textId="77777777">
        <w:tc>
          <w:tcPr>
            <w:tcW w:w="2459" w:type="dxa"/>
            <w:vMerge w:val="restart"/>
            <w:vAlign w:val="center"/>
          </w:tcPr>
          <w:p w14:paraId="3BE75593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94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Bertalanffy-Richards</w:t>
            </w:r>
          </w:p>
          <w:p w14:paraId="3BE75595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96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97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10"/>
                <w:sz w:val="20"/>
                <w:szCs w:val="20"/>
                <w:lang w:eastAsia="fr-FR"/>
              </w:rPr>
              <w:drawing>
                <wp:inline distT="0" distB="0" distL="0" distR="0" wp14:anchorId="3BE756D6" wp14:editId="3BE756D7">
                  <wp:extent cx="1428750" cy="2286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vAlign w:val="center"/>
          </w:tcPr>
          <w:p w14:paraId="3BE75598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position w:val="-12"/>
                <w:sz w:val="20"/>
                <w:szCs w:val="20"/>
                <w:lang w:val="en-GB"/>
              </w:rPr>
              <w:object w:dxaOrig="675" w:dyaOrig="315" w14:anchorId="3BE756D8">
                <v:shape id="_x0000_i1027" type="#_x0000_t75" style="width:33.65pt;height:15.8pt" o:ole="">
                  <v:imagedata r:id="rId12" o:title=""/>
                </v:shape>
                <o:OLEObject Type="Embed" ProgID="Equation.DSMT4" ShapeID="_x0000_i1027" DrawAspect="Content" ObjectID="_1767428473" r:id="rId17"/>
              </w:object>
            </w:r>
          </w:p>
        </w:tc>
        <w:tc>
          <w:tcPr>
            <w:tcW w:w="4550" w:type="dxa"/>
            <w:vAlign w:val="center"/>
          </w:tcPr>
          <w:p w14:paraId="3BE75599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0"/>
                                        <w:szCs w:val="20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0"/>
                                            <w:szCs w:val="20"/>
                                            <w:lang w:val="en-GB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  <m:t>0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1/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0"/>
                                        <w:szCs w:val="20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3</m:t>
                                    </m:r>
                                  </m:sub>
                                </m:sSub>
                              </m:sup>
                            </m:sSup>
                          </m:e>
                        </m:d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94" w:type="dxa"/>
            <w:vAlign w:val="center"/>
          </w:tcPr>
          <w:p w14:paraId="3BE7559A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Theme="majorBidi" w:cstheme="majorBidi"/>
                    <w:sz w:val="20"/>
                    <w:szCs w:val="20"/>
                    <w:lang w:val="en-US"/>
                  </w:rPr>
                  <m:t>Y=</m:t>
                </m:r>
                <m:sSub>
                  <m:sSub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0"/>
                        <w:szCs w:val="20"/>
                        <w:lang w:val="en-US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Theme="majorBidi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Theme="majorBidi" w:cstheme="majorBidi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Theme="majorBidi" w:cstheme="majorBidi"/>
                                    <w:sz w:val="20"/>
                                    <w:szCs w:val="20"/>
                                    <w:lang w:val="en-US"/>
                                  </w:rPr>
                                  <m:t>1</m:t>
                                </m:r>
                                <m:r>
                                  <w:rPr>
                                    <w:rFonts w:ascii="Cambria Math" w:hAnsiTheme="majorBidi" w:cstheme="majorBidi"/>
                                    <w:sz w:val="20"/>
                                    <w:szCs w:val="20"/>
                                    <w:lang w:val="en-US"/>
                                  </w:rPr>
                                  <m:t>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Theme="majorBidi" w:cstheme="majorBidi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Theme="majorBidi" w:cstheme="majorBidi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Theme="majorBidi" w:cstheme="majorBidi"/>
                                                <w:i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Theme="majorBidi" w:cstheme="majorBidi"/>
                                                    <w:i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Theme="majorBidi" w:cstheme="majorBidi"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  <m:t>Y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Theme="majorBidi" w:cstheme="majorBidi"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  <m:t>0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Theme="majorBidi" w:cstheme="majorBidi"/>
                                                    <w:i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Theme="majorBidi" w:cstheme="majorBidi"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  <m:t>b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Theme="majorBidi" w:cstheme="majorBidi"/>
                                                    <w:sz w:val="20"/>
                                                    <w:szCs w:val="20"/>
                                                    <w:lang w:val="en-US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</m:ctrlPr>
                                          </m:den>
                                        </m:f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Theme="majorBidi" w:cstheme="majorBidi"/>
                                        <w:sz w:val="20"/>
                                        <w:szCs w:val="20"/>
                                        <w:lang w:val="en-US"/>
                                      </w:rPr>
                                      <m:t>1/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Theme="majorBidi" w:cstheme="majorBidi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Theme="majorBidi" w:cstheme="majorBidi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Theme="majorBidi" w:cstheme="majorBidi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up>
                                </m:sSup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m:t>t/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Theme="majorBidi" w:cstheme="majorBidi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Theme="majorBidi" w:cstheme="majorBidi"/>
                                    <w:sz w:val="20"/>
                                    <w:szCs w:val="20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Theme="majorBidi" w:cstheme="majorBidi"/>
                                    <w:sz w:val="20"/>
                                    <w:szCs w:val="20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e>
                    </m:d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e>
                  <m:sup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up>
                </m:sSup>
              </m:oMath>
            </m:oMathPara>
          </w:p>
        </w:tc>
        <w:tc>
          <w:tcPr>
            <w:tcW w:w="903" w:type="dxa"/>
            <w:vAlign w:val="center"/>
          </w:tcPr>
          <w:p w14:paraId="3BE7559B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M3</w:t>
            </w:r>
          </w:p>
        </w:tc>
      </w:tr>
      <w:tr w:rsidR="00B8321B" w14:paraId="3BE755A3" w14:textId="77777777">
        <w:tc>
          <w:tcPr>
            <w:tcW w:w="2459" w:type="dxa"/>
            <w:vMerge/>
            <w:vAlign w:val="center"/>
          </w:tcPr>
          <w:p w14:paraId="3BE7559D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14:paraId="3BE7559E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32"/>
                <w:sz w:val="20"/>
                <w:szCs w:val="20"/>
                <w:lang w:eastAsia="fr-FR"/>
              </w:rPr>
              <w:drawing>
                <wp:inline distT="0" distB="0" distL="0" distR="0" wp14:anchorId="3BE756D9" wp14:editId="3BE756DA">
                  <wp:extent cx="885825" cy="4000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vAlign w:val="center"/>
          </w:tcPr>
          <w:p w14:paraId="3BE7559F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  <w:lang w:val="en-GB"/>
              </w:rPr>
            </w:pPr>
            <w:r>
              <w:rPr>
                <w:rFonts w:ascii="Cambria Math" w:hAnsi="Cambria Math" w:cstheme="majorBidi"/>
                <w:noProof/>
                <w:position w:val="-24"/>
                <w:sz w:val="20"/>
                <w:szCs w:val="20"/>
                <w:lang w:eastAsia="fr-FR"/>
              </w:rPr>
              <w:drawing>
                <wp:inline distT="0" distB="0" distL="0" distR="0" wp14:anchorId="3BE756DB" wp14:editId="3BE756DC">
                  <wp:extent cx="2752725" cy="35242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755A0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with </w:t>
            </w:r>
            <m:oMath>
              <m:sSub>
                <m:sSub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0"/>
                      <w:szCs w:val="20"/>
                      <w:lang w:val="en-GB"/>
                    </w:rPr>
                    <m:t>F</m:t>
                  </m:r>
                </m:e>
                <m:sub>
                  <m:r>
                    <w:rPr>
                      <w:rFonts w:ascii="Cambria Math" w:hAnsiTheme="majorBidi" w:cstheme="majorBidi"/>
                      <w:sz w:val="20"/>
                      <w:szCs w:val="20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Theme="majorBidi" w:cstheme="majorBidi"/>
                  <w:sz w:val="20"/>
                  <w:szCs w:val="20"/>
                  <w:lang w:val="en-GB"/>
                </w:rPr>
                <m:t>=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0"/>
                      <w:szCs w:val="20"/>
                      <w:lang w:val="en-GB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Theme="majorBidi" w:cstheme="majorBidi"/>
                          <w:i/>
                          <w:sz w:val="20"/>
                          <w:szCs w:val="20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Theme="majorBidi" w:cstheme="majorBidi"/>
                          <w:sz w:val="20"/>
                          <w:szCs w:val="20"/>
                          <w:lang w:val="en-GB"/>
                        </w:rPr>
                        <m:t>1</m:t>
                      </m:r>
                      <m:r>
                        <w:rPr>
                          <w:rFonts w:ascii="Cambria Math" w:hAnsiTheme="majorBidi" w:cstheme="majorBidi"/>
                          <w:sz w:val="20"/>
                          <w:szCs w:val="20"/>
                          <w:lang w:val="en-GB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Theme="majorBidi" w:cstheme="majorBidi"/>
                              <w:i/>
                              <w:sz w:val="20"/>
                              <w:szCs w:val="20"/>
                              <w:lang w:val="en-GB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Theme="majorBidi" w:cstheme="majorBidi"/>
                              <w:sz w:val="20"/>
                              <w:szCs w:val="20"/>
                              <w:lang w:val="en-GB"/>
                            </w:rPr>
                            <m:t>exp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Theme="majorBidi" w:cstheme="majorBidi"/>
                                  <w:sz w:val="20"/>
                                  <w:szCs w:val="20"/>
                                  <w:lang w:val="en-GB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Theme="majorBidi" w:cstheme="majorBidi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Theme="majorBidi" w:cstheme="majorBidi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  <w:lang w:val="en-GB"/>
                            </w:rPr>
                          </m:ctrlPr>
                        </m:e>
                      </m:func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  <w:lang w:val="en-GB"/>
                        </w:rPr>
                      </m:ctrlPr>
                    </m:e>
                  </m:d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GB"/>
                    </w:rPr>
                  </m:ctrlPr>
                </m:e>
              </m:func>
            </m:oMath>
          </w:p>
        </w:tc>
        <w:tc>
          <w:tcPr>
            <w:tcW w:w="3194" w:type="dxa"/>
            <w:vAlign w:val="center"/>
          </w:tcPr>
          <w:p w14:paraId="3BE755A1" w14:textId="77777777" w:rsidR="00B8321B" w:rsidRDefault="00000000">
            <w:pPr>
              <w:spacing w:after="0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32"/>
                <w:sz w:val="20"/>
                <w:szCs w:val="20"/>
                <w:lang w:eastAsia="fr-FR"/>
              </w:rPr>
              <w:drawing>
                <wp:inline distT="0" distB="0" distL="0" distR="0" wp14:anchorId="3BE756DD" wp14:editId="3BE756DE">
                  <wp:extent cx="1885950" cy="4953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vAlign w:val="center"/>
          </w:tcPr>
          <w:p w14:paraId="3BE755A2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M4</w:t>
            </w:r>
          </w:p>
        </w:tc>
      </w:tr>
      <w:tr w:rsidR="00B8321B" w14:paraId="3BE755AC" w14:textId="77777777">
        <w:tc>
          <w:tcPr>
            <w:tcW w:w="2459" w:type="dxa"/>
            <w:vMerge w:val="restart"/>
            <w:vAlign w:val="center"/>
          </w:tcPr>
          <w:p w14:paraId="3BE755A4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A5" w14:textId="77777777" w:rsidR="00B8321B" w:rsidRDefault="00000000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Lundqvist-Korf</w:t>
            </w:r>
          </w:p>
          <w:p w14:paraId="3BE755A6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3BE755A7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10"/>
                <w:sz w:val="20"/>
                <w:szCs w:val="20"/>
                <w:lang w:eastAsia="fr-FR"/>
              </w:rPr>
              <w:drawing>
                <wp:inline distT="0" distB="0" distL="0" distR="0" wp14:anchorId="3BE756DF" wp14:editId="3BE756E0">
                  <wp:extent cx="1228725" cy="2286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vAlign w:val="center"/>
          </w:tcPr>
          <w:p w14:paraId="3BE755A8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position w:val="-12"/>
                <w:sz w:val="20"/>
                <w:szCs w:val="20"/>
                <w:lang w:val="en-GB"/>
              </w:rPr>
              <w:object w:dxaOrig="675" w:dyaOrig="315" w14:anchorId="3BE756E1">
                <v:shape id="_x0000_i1028" type="#_x0000_t75" style="width:33.65pt;height:15.8pt" o:ole="">
                  <v:imagedata r:id="rId12" o:title=""/>
                </v:shape>
                <o:OLEObject Type="Embed" ProgID="Equation.DSMT4" ShapeID="_x0000_i1028" DrawAspect="Content" ObjectID="_1767428474" r:id="rId22"/>
              </w:object>
            </w:r>
          </w:p>
        </w:tc>
        <w:tc>
          <w:tcPr>
            <w:tcW w:w="4550" w:type="dxa"/>
            <w:vAlign w:val="center"/>
          </w:tcPr>
          <w:p w14:paraId="3BE755A9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=-</m:t>
                </m:r>
                <m:func>
                  <m:func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3</m:t>
                        </m:r>
                      </m:sub>
                    </m:sSub>
                  </m:sup>
                </m:sSubSup>
              </m:oMath>
            </m:oMathPara>
          </w:p>
        </w:tc>
        <w:tc>
          <w:tcPr>
            <w:tcW w:w="3194" w:type="dxa"/>
            <w:vAlign w:val="center"/>
          </w:tcPr>
          <w:p w14:paraId="3BE755AA" w14:textId="77777777" w:rsidR="00B8321B" w:rsidRDefault="00000000">
            <w:pPr>
              <w:spacing w:after="0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Y=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0"/>
                                        <w:szCs w:val="20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  <w:lang w:val="en-GB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3</m:t>
                            </m:r>
                          </m:sub>
                        </m:sSub>
                      </m:sup>
                    </m:sSup>
                  </m:sup>
                </m:sSup>
              </m:oMath>
            </m:oMathPara>
          </w:p>
        </w:tc>
        <w:tc>
          <w:tcPr>
            <w:tcW w:w="903" w:type="dxa"/>
            <w:vAlign w:val="center"/>
          </w:tcPr>
          <w:p w14:paraId="3BE755AB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M5</w:t>
            </w:r>
          </w:p>
        </w:tc>
      </w:tr>
      <w:tr w:rsidR="00B8321B" w14:paraId="3BE755B2" w14:textId="77777777">
        <w:tc>
          <w:tcPr>
            <w:tcW w:w="2459" w:type="dxa"/>
            <w:vMerge/>
            <w:vAlign w:val="center"/>
          </w:tcPr>
          <w:p w14:paraId="3BE755AD" w14:textId="77777777" w:rsidR="00B8321B" w:rsidRDefault="00B8321B">
            <w:p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14:paraId="3BE755AE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32"/>
                <w:sz w:val="20"/>
                <w:szCs w:val="20"/>
                <w:lang w:eastAsia="fr-FR"/>
              </w:rPr>
              <w:drawing>
                <wp:inline distT="0" distB="0" distL="0" distR="0" wp14:anchorId="3BE756E2" wp14:editId="3BE756E3">
                  <wp:extent cx="695325" cy="4000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vAlign w:val="center"/>
          </w:tcPr>
          <w:p w14:paraId="3BE755AF" w14:textId="77777777" w:rsidR="00B8321B" w:rsidRDefault="00000000">
            <w:pPr>
              <w:spacing w:after="0"/>
              <w:jc w:val="both"/>
              <w:rPr>
                <w:rFonts w:ascii="Cambria Math" w:hAnsi="Cambria Math" w:cstheme="majorBidi"/>
                <w:sz w:val="20"/>
                <w:szCs w:val="20"/>
              </w:rPr>
            </w:pPr>
            <w:r>
              <w:rPr>
                <w:rFonts w:ascii="Cambria Math" w:hAnsi="Cambria Math" w:cstheme="majorBidi"/>
                <w:noProof/>
                <w:position w:val="-24"/>
                <w:sz w:val="20"/>
                <w:szCs w:val="20"/>
                <w:lang w:eastAsia="fr-FR"/>
              </w:rPr>
              <w:drawing>
                <wp:inline distT="0" distB="0" distL="0" distR="0" wp14:anchorId="3BE756E4" wp14:editId="3BE756E5">
                  <wp:extent cx="2324100" cy="4000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4" w:type="dxa"/>
            <w:vAlign w:val="center"/>
          </w:tcPr>
          <w:p w14:paraId="3BE755B0" w14:textId="77777777" w:rsidR="00B8321B" w:rsidRDefault="00000000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theme="majorBidi"/>
                        <w:iCs/>
                        <w:sz w:val="20"/>
                        <w:szCs w:val="20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lang w:val="en-GB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3</m:t>
                            </m:r>
                          </m:sub>
                        </m:sSub>
                      </m:sup>
                    </m:sSup>
                  </m:e>
                </m:d>
              </m:oMath>
            </m:oMathPara>
          </w:p>
        </w:tc>
        <w:tc>
          <w:tcPr>
            <w:tcW w:w="903" w:type="dxa"/>
            <w:vAlign w:val="center"/>
          </w:tcPr>
          <w:p w14:paraId="3BE755B1" w14:textId="77777777" w:rsidR="00B8321B" w:rsidRDefault="00000000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M6</w:t>
            </w:r>
          </w:p>
        </w:tc>
      </w:tr>
    </w:tbl>
    <w:p w14:paraId="3BE755B3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4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5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6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7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8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9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A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</w:pPr>
    </w:p>
    <w:p w14:paraId="3BE755BB" w14:textId="77777777" w:rsidR="00B8321B" w:rsidRDefault="00B8321B">
      <w:pPr>
        <w:rPr>
          <w:rFonts w:asciiTheme="majorBidi" w:hAnsiTheme="majorBidi" w:cstheme="majorBidi"/>
          <w:sz w:val="28"/>
          <w:szCs w:val="28"/>
          <w:lang w:val="en-US"/>
        </w:rPr>
        <w:sectPr w:rsidR="00B8321B" w:rsidSect="004928D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BE755BC" w14:textId="77777777" w:rsidR="00B8321B" w:rsidRDefault="0000000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D0FAA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Table S2 -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Distribution of the 167 sampled plots in four classes of fertility and summary statistics of the measured variables.</w:t>
      </w:r>
    </w:p>
    <w:tbl>
      <w:tblPr>
        <w:tblW w:w="7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2"/>
        <w:gridCol w:w="1699"/>
        <w:gridCol w:w="1134"/>
        <w:gridCol w:w="992"/>
        <w:gridCol w:w="863"/>
        <w:gridCol w:w="863"/>
      </w:tblGrid>
      <w:tr w:rsidR="00B8321B" w14:paraId="3BE755C4" w14:textId="77777777">
        <w:trPr>
          <w:trHeight w:val="30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E755B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Fertility class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3BE755B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Number of plots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755BF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Variable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755C0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Average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755C1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Min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755C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Max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755C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STD</w:t>
            </w:r>
          </w:p>
        </w:tc>
      </w:tr>
      <w:tr w:rsidR="00B8321B" w14:paraId="3BE755CC" w14:textId="77777777">
        <w:trPr>
          <w:trHeight w:val="300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3BE755C5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14:paraId="3BE755C6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5C7" w14:textId="77777777" w:rsidR="00B8321B" w:rsidRDefault="00000000">
            <w:pPr>
              <w:spacing w:after="0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5C8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16.47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5C9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16.01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5C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17.77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5C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0.505</w:t>
            </w:r>
          </w:p>
        </w:tc>
      </w:tr>
      <w:tr w:rsidR="00B8321B" w14:paraId="3BE755D4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CD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CE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CF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Age (years)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0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1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121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159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12.234</w:t>
            </w:r>
          </w:p>
        </w:tc>
      </w:tr>
      <w:tr w:rsidR="00B8321B" w14:paraId="3BE755DC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D5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D6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7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N (stems/ha)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8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9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290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37.256</w:t>
            </w:r>
          </w:p>
        </w:tc>
      </w:tr>
      <w:tr w:rsidR="00B8321B" w14:paraId="3BE755E4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DD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DE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DF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(cm)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0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39.82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1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33.1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44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3.095</w:t>
            </w:r>
          </w:p>
        </w:tc>
      </w:tr>
      <w:tr w:rsidR="00B8321B" w14:paraId="3BE755EC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E5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E6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7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BA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8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27.71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9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22.16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35.71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3.735</w:t>
            </w:r>
          </w:p>
        </w:tc>
      </w:tr>
      <w:tr w:rsidR="00B8321B" w14:paraId="3BE755F4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ED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EE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EF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0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16.57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1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1.403</w:t>
            </w:r>
          </w:p>
        </w:tc>
      </w:tr>
      <w:tr w:rsidR="00B8321B" w14:paraId="3BE755FC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F5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F6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7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8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18.82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9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17.85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20.05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5F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0.712</w:t>
            </w:r>
          </w:p>
        </w:tc>
      </w:tr>
      <w:tr w:rsidR="00B8321B" w14:paraId="3BE75604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5FD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5FE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5FF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Volume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00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175.181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01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136.836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0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226.483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0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25.736</w:t>
            </w:r>
          </w:p>
        </w:tc>
      </w:tr>
      <w:tr w:rsidR="00B8321B" w14:paraId="3BE7560E" w14:textId="77777777">
        <w:trPr>
          <w:trHeight w:val="300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3BE75605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14:paraId="3BE75606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75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07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  <w:p w14:paraId="3BE75608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09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14.74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0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14.01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0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15.94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</w:tcPr>
          <w:p w14:paraId="3BE7560C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  <w:p w14:paraId="3BE7560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0.553</w:t>
            </w:r>
          </w:p>
        </w:tc>
      </w:tr>
      <w:tr w:rsidR="00B8321B" w14:paraId="3BE75616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0F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10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1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Age (years)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69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173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19.418</w:t>
            </w:r>
          </w:p>
        </w:tc>
      </w:tr>
      <w:tr w:rsidR="00B8321B" w14:paraId="3BE7561E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17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18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9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N (stems/ha)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150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390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1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47.059</w:t>
            </w:r>
          </w:p>
        </w:tc>
      </w:tr>
      <w:tr w:rsidR="00B8321B" w14:paraId="3BE75626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1F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20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1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36.37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21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51.30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4.852</w:t>
            </w:r>
          </w:p>
        </w:tc>
      </w:tr>
      <w:tr w:rsidR="00B8321B" w14:paraId="3BE7562E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27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28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9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BA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23.13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7.27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39.21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2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6.118</w:t>
            </w:r>
          </w:p>
        </w:tc>
      </w:tr>
      <w:tr w:rsidR="00B8321B" w14:paraId="3BE75636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2F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30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1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15.29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10.50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19.00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1.813</w:t>
            </w:r>
          </w:p>
        </w:tc>
      </w:tr>
      <w:tr w:rsidR="00B8321B" w14:paraId="3BE7563E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37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38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9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A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16.33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11.45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19.85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3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1.474</w:t>
            </w:r>
          </w:p>
        </w:tc>
      </w:tr>
      <w:tr w:rsidR="00B8321B" w14:paraId="3BE75646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3F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40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41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Volume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42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142.987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43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48.902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4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245.806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4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39.854</w:t>
            </w:r>
          </w:p>
        </w:tc>
      </w:tr>
      <w:tr w:rsidR="00B8321B" w14:paraId="3BE75650" w14:textId="77777777">
        <w:trPr>
          <w:trHeight w:val="300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3BE75647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14:paraId="3BE75648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65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49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  <w:p w14:paraId="3BE7564A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 xml:space="preserve">0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(m)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4B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13.26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4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4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13.98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</w:tcPr>
          <w:p w14:paraId="3BE7564E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  <w:p w14:paraId="3BE7564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0.559</w:t>
            </w:r>
          </w:p>
        </w:tc>
      </w:tr>
      <w:tr w:rsidR="00B8321B" w14:paraId="3BE7565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51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52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Age (years)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68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196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23.772</w:t>
            </w:r>
          </w:p>
        </w:tc>
      </w:tr>
      <w:tr w:rsidR="00B8321B" w14:paraId="3BE7566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59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5A" w14:textId="77777777" w:rsidR="00B8321B" w:rsidRDefault="00B8321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N (stems/ha)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420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5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57.347</w:t>
            </w:r>
          </w:p>
        </w:tc>
      </w:tr>
      <w:tr w:rsidR="00B8321B" w14:paraId="3BE7566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61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62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34.81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24.80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54.80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5.426</w:t>
            </w:r>
          </w:p>
        </w:tc>
      </w:tr>
      <w:tr w:rsidR="00B8321B" w14:paraId="3BE7567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69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6A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BA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21.85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9.69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37.69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6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6.423</w:t>
            </w:r>
          </w:p>
        </w:tc>
      </w:tr>
      <w:tr w:rsidR="00B8321B" w14:paraId="3BE7567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71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72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14.05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18.00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1.743</w:t>
            </w:r>
          </w:p>
        </w:tc>
      </w:tr>
      <w:tr w:rsidR="00B8321B" w14:paraId="3BE7568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79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7A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10.58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18.20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7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1.575</w:t>
            </w:r>
          </w:p>
        </w:tc>
      </w:tr>
      <w:tr w:rsidR="00B8321B" w14:paraId="3BE7568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3BE75681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center"/>
          </w:tcPr>
          <w:p w14:paraId="3BE75682" w14:textId="77777777" w:rsidR="00B8321B" w:rsidRDefault="00B8321B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8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Volume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8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133.517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8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133.517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8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232.817</w:t>
            </w:r>
          </w:p>
        </w:tc>
        <w:tc>
          <w:tcPr>
            <w:tcW w:w="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7568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41.052</w:t>
            </w:r>
          </w:p>
        </w:tc>
      </w:tr>
      <w:tr w:rsidR="00B8321B" w14:paraId="3BE75690" w14:textId="77777777">
        <w:trPr>
          <w:trHeight w:val="300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3BE75689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14:paraId="3BE7568A" w14:textId="77777777" w:rsidR="00B8321B" w:rsidRDefault="0000000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</w:t>
            </w:r>
          </w:p>
        </w:tc>
        <w:tc>
          <w:tcPr>
            <w:tcW w:w="1699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8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I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 xml:space="preserve">0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(m)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8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11.08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8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9.13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E7568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11.96</w:t>
            </w:r>
          </w:p>
        </w:tc>
        <w:tc>
          <w:tcPr>
            <w:tcW w:w="863" w:type="dxa"/>
            <w:tcBorders>
              <w:bottom w:val="nil"/>
            </w:tcBorders>
            <w:shd w:val="clear" w:color="auto" w:fill="auto"/>
          </w:tcPr>
          <w:p w14:paraId="3BE7568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1.061</w:t>
            </w:r>
          </w:p>
        </w:tc>
      </w:tr>
      <w:tr w:rsidR="00B8321B" w14:paraId="3BE7569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91" w14:textId="77777777" w:rsidR="00B8321B" w:rsidRDefault="00B8321B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92" w14:textId="77777777" w:rsidR="00B8321B" w:rsidRDefault="00B8321B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Age (years)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103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173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19.702</w:t>
            </w:r>
          </w:p>
        </w:tc>
      </w:tr>
      <w:tr w:rsidR="00B8321B" w14:paraId="3BE756A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99" w14:textId="77777777" w:rsidR="00B8321B" w:rsidRDefault="00B8321B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9A" w14:textId="77777777" w:rsidR="00B8321B" w:rsidRDefault="00B8321B">
            <w:pPr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N (stems/ha)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170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517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9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111.929</w:t>
            </w:r>
          </w:p>
        </w:tc>
      </w:tr>
      <w:tr w:rsidR="00B8321B" w14:paraId="3BE756A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A1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A2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28.42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21.00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34.00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4.056</w:t>
            </w:r>
          </w:p>
        </w:tc>
      </w:tr>
      <w:tr w:rsidR="00B8321B" w14:paraId="3BE756B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A9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AA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BA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19.22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10.24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31,86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A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7.617</w:t>
            </w:r>
          </w:p>
        </w:tc>
      </w:tr>
      <w:tr w:rsidR="00B8321B" w14:paraId="3BE756B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B1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B2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>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 xml:space="preserve"> 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11.81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8.73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13.50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1.644</w:t>
            </w:r>
          </w:p>
        </w:tc>
      </w:tr>
      <w:tr w:rsidR="00B8321B" w14:paraId="3BE756C0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B9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BA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B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US" w:eastAsia="fr-FR"/>
              </w:rPr>
              <w:t xml:space="preserve">d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(m)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C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12.84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D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10.10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E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15.33</w:t>
            </w: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E756BF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1.559</w:t>
            </w:r>
          </w:p>
        </w:tc>
      </w:tr>
      <w:tr w:rsidR="00B8321B" w14:paraId="3BE756C8" w14:textId="77777777">
        <w:trPr>
          <w:trHeight w:val="290"/>
          <w:jc w:val="center"/>
        </w:trPr>
        <w:tc>
          <w:tcPr>
            <w:tcW w:w="993" w:type="dxa"/>
            <w:vMerge/>
            <w:shd w:val="clear" w:color="auto" w:fill="auto"/>
            <w:noWrap/>
            <w:vAlign w:val="bottom"/>
          </w:tcPr>
          <w:p w14:paraId="3BE756C1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852" w:type="dxa"/>
            <w:vMerge/>
            <w:shd w:val="clear" w:color="auto" w:fill="auto"/>
            <w:noWrap/>
            <w:vAlign w:val="bottom"/>
          </w:tcPr>
          <w:p w14:paraId="3BE756C2" w14:textId="77777777" w:rsidR="00B8321B" w:rsidRDefault="00B8321B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756C3" w14:textId="77777777" w:rsidR="00B8321B" w:rsidRDefault="00000000">
            <w:pPr>
              <w:spacing w:after="0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Volume (m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US" w:eastAsia="fr-FR"/>
              </w:rPr>
              <w:t>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/ha)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756C4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110.764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756C5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59.63</w:t>
            </w:r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756C6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187.941</w:t>
            </w:r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756C7" w14:textId="77777777" w:rsidR="00B8321B" w:rsidRDefault="0000000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45.533</w:t>
            </w:r>
          </w:p>
        </w:tc>
      </w:tr>
    </w:tbl>
    <w:p w14:paraId="3BE756C9" w14:textId="77777777" w:rsidR="00B8321B" w:rsidRDefault="00B8321B">
      <w:pPr>
        <w:spacing w:after="0" w:line="30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B832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522C" w14:textId="77777777" w:rsidR="004928D0" w:rsidRDefault="004928D0">
      <w:pPr>
        <w:spacing w:line="240" w:lineRule="auto"/>
      </w:pPr>
      <w:r>
        <w:separator/>
      </w:r>
    </w:p>
  </w:endnote>
  <w:endnote w:type="continuationSeparator" w:id="0">
    <w:p w14:paraId="09AC28E6" w14:textId="77777777" w:rsidR="004928D0" w:rsidRDefault="004928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Segoe Print"/>
    <w:charset w:val="00"/>
    <w:family w:val="auto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BBEE" w14:textId="77777777" w:rsidR="004928D0" w:rsidRDefault="004928D0">
      <w:pPr>
        <w:spacing w:after="0"/>
      </w:pPr>
      <w:r>
        <w:separator/>
      </w:r>
    </w:p>
  </w:footnote>
  <w:footnote w:type="continuationSeparator" w:id="0">
    <w:p w14:paraId="0F3E1356" w14:textId="77777777" w:rsidR="004928D0" w:rsidRDefault="004928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C0E"/>
    <w:rsid w:val="00054354"/>
    <w:rsid w:val="001329C2"/>
    <w:rsid w:val="0018442D"/>
    <w:rsid w:val="00392D87"/>
    <w:rsid w:val="004928D0"/>
    <w:rsid w:val="005E6956"/>
    <w:rsid w:val="00600570"/>
    <w:rsid w:val="00657FCF"/>
    <w:rsid w:val="00813C0E"/>
    <w:rsid w:val="00A23C7E"/>
    <w:rsid w:val="00B8321B"/>
    <w:rsid w:val="00C1074E"/>
    <w:rsid w:val="00CD0FAA"/>
    <w:rsid w:val="401B53D1"/>
    <w:rsid w:val="6580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551C"/>
  <w15:docId w15:val="{E0DC9B65-8875-4485-BD28-04887222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fr-FR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Carpredefinitoparagrafo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9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2.wmf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hyperlink" Target="mailto:dalila.kherchouche@univ-batna.dz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4.wmf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wmf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Tahar</dc:creator>
  <cp:lastModifiedBy>Dalila.Sansone (CREA-FL)</cp:lastModifiedBy>
  <cp:revision>9</cp:revision>
  <dcterms:created xsi:type="dcterms:W3CDTF">2023-10-13T14:02:00Z</dcterms:created>
  <dcterms:modified xsi:type="dcterms:W3CDTF">2024-01-22T10:35:00Z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1036-12.2.0.13266</vt:lpwstr>
  </property>
  <property fmtid="{D5CDD505-2E9C-101B-9397-08002B2CF9AE}" pid="3" name="ICV">
    <vt:lpwstr>092AA26D112946539635CBF1FACC058E_12</vt:lpwstr>
  </property>
</Properties>
</file>