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b/>
          <w:bCs/>
          <w:lang w:val="en-US"/>
        </w:rPr>
      </w:pPr>
      <w:r w:rsidRPr="00DA6DCF">
        <w:rPr>
          <w:b/>
          <w:bCs/>
          <w:lang w:val="en-US"/>
        </w:rPr>
        <w:t>Tables</w:t>
      </w:r>
    </w:p>
    <w:p w:rsidR="003E20B0" w:rsidRDefault="003E20B0" w:rsidP="003E20B0">
      <w:pPr>
        <w:spacing w:line="276" w:lineRule="auto"/>
        <w:jc w:val="both"/>
        <w:rPr>
          <w:lang w:val="en-US"/>
        </w:rPr>
      </w:pPr>
    </w:p>
    <w:p w:rsidR="003E20B0" w:rsidRPr="00DA6DCF" w:rsidRDefault="003E20B0" w:rsidP="003E20B0">
      <w:pPr>
        <w:spacing w:line="276" w:lineRule="auto"/>
        <w:jc w:val="both"/>
        <w:rPr>
          <w:lang w:val="en-US"/>
        </w:rPr>
      </w:pPr>
      <w:r w:rsidRPr="00487316">
        <w:rPr>
          <w:b/>
          <w:sz w:val="22"/>
          <w:szCs w:val="22"/>
          <w:lang w:val="en-US" w:eastAsia="de-DE"/>
        </w:rPr>
        <w:t xml:space="preserve">Table </w:t>
      </w:r>
      <w:r w:rsidR="001C2A61" w:rsidRPr="00487316">
        <w:rPr>
          <w:b/>
          <w:sz w:val="22"/>
          <w:szCs w:val="22"/>
          <w:lang w:val="en-US" w:eastAsia="de-DE"/>
        </w:rPr>
        <w:fldChar w:fldCharType="begin"/>
      </w:r>
      <w:r w:rsidRPr="00487316">
        <w:rPr>
          <w:b/>
          <w:sz w:val="22"/>
          <w:szCs w:val="22"/>
          <w:lang w:val="en-US" w:eastAsia="de-DE"/>
        </w:rPr>
        <w:instrText xml:space="preserve"> SEQ Table \* ARABIC </w:instrText>
      </w:r>
      <w:r w:rsidR="001C2A61" w:rsidRPr="00487316">
        <w:rPr>
          <w:b/>
          <w:sz w:val="22"/>
          <w:szCs w:val="22"/>
          <w:lang w:val="en-US" w:eastAsia="de-DE"/>
        </w:rPr>
        <w:fldChar w:fldCharType="separate"/>
      </w:r>
      <w:r w:rsidRPr="00487316">
        <w:rPr>
          <w:b/>
          <w:noProof/>
          <w:sz w:val="22"/>
          <w:szCs w:val="22"/>
          <w:lang w:val="en-US" w:eastAsia="de-DE"/>
        </w:rPr>
        <w:t>1</w:t>
      </w:r>
      <w:r w:rsidR="001C2A61" w:rsidRPr="00487316">
        <w:rPr>
          <w:b/>
          <w:sz w:val="22"/>
          <w:szCs w:val="22"/>
          <w:lang w:val="en-US" w:eastAsia="de-DE"/>
        </w:rPr>
        <w:fldChar w:fldCharType="end"/>
      </w:r>
      <w:r>
        <w:rPr>
          <w:sz w:val="22"/>
          <w:szCs w:val="22"/>
          <w:lang w:val="en-US" w:eastAsia="de-DE"/>
        </w:rPr>
        <w:t xml:space="preserve"> -</w:t>
      </w:r>
      <w:r w:rsidRPr="00DA6DCF">
        <w:rPr>
          <w:sz w:val="22"/>
          <w:szCs w:val="22"/>
          <w:lang w:val="en-US" w:eastAsia="de-DE"/>
        </w:rPr>
        <w:t xml:space="preserve"> Phases of the woodchips production process and indicators of economic sustainability</w:t>
      </w:r>
      <w:r w:rsidR="00147963">
        <w:rPr>
          <w:sz w:val="22"/>
          <w:szCs w:val="22"/>
          <w:lang w:val="en-US" w:eastAsia="de-DE"/>
        </w:rPr>
        <w:t>.</w:t>
      </w:r>
    </w:p>
    <w:tbl>
      <w:tblPr>
        <w:tblStyle w:val="Tabellasemplice-21"/>
        <w:tblW w:w="9181" w:type="dxa"/>
        <w:tblLook w:val="04A0" w:firstRow="1" w:lastRow="0" w:firstColumn="1" w:lastColumn="0" w:noHBand="0" w:noVBand="1"/>
      </w:tblPr>
      <w:tblGrid>
        <w:gridCol w:w="4590"/>
        <w:gridCol w:w="4591"/>
      </w:tblGrid>
      <w:tr w:rsidR="003E20B0" w:rsidRPr="00487316" w:rsidTr="003F0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:rsidR="003E20B0" w:rsidRPr="00487316" w:rsidRDefault="003E20B0" w:rsidP="003F00A3">
            <w:pPr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sz w:val="20"/>
                <w:szCs w:val="20"/>
                <w:lang w:val="en-US"/>
              </w:rPr>
              <w:t>Phases</w:t>
            </w:r>
          </w:p>
        </w:tc>
        <w:tc>
          <w:tcPr>
            <w:tcW w:w="4591" w:type="dxa"/>
          </w:tcPr>
          <w:p w:rsidR="003E20B0" w:rsidRPr="00487316" w:rsidRDefault="003E20B0" w:rsidP="003F0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87316">
              <w:rPr>
                <w:sz w:val="20"/>
                <w:szCs w:val="20"/>
                <w:lang w:val="en-US"/>
              </w:rPr>
              <w:t>Economic sustainability indicators</w:t>
            </w:r>
          </w:p>
        </w:tc>
      </w:tr>
      <w:tr w:rsidR="003E20B0" w:rsidRPr="00F753BE" w:rsidTr="003F0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:rsidR="003E20B0" w:rsidRPr="00487316" w:rsidRDefault="003E20B0" w:rsidP="003F00A3">
            <w:pPr>
              <w:rPr>
                <w:b w:val="0"/>
                <w:sz w:val="20"/>
                <w:szCs w:val="20"/>
                <w:lang w:val="en-US"/>
              </w:rPr>
            </w:pPr>
            <w:r w:rsidRPr="00487316">
              <w:rPr>
                <w:b w:val="0"/>
                <w:sz w:val="20"/>
                <w:szCs w:val="20"/>
                <w:lang w:val="en-US"/>
              </w:rPr>
              <w:t>Cutting and logging</w:t>
            </w:r>
          </w:p>
          <w:p w:rsidR="003E20B0" w:rsidRPr="00487316" w:rsidRDefault="003E20B0" w:rsidP="003F00A3">
            <w:pPr>
              <w:rPr>
                <w:b w:val="0"/>
                <w:sz w:val="20"/>
                <w:szCs w:val="20"/>
                <w:lang w:val="en-US"/>
              </w:rPr>
            </w:pPr>
            <w:r w:rsidRPr="00487316">
              <w:rPr>
                <w:b w:val="0"/>
                <w:sz w:val="20"/>
                <w:szCs w:val="20"/>
                <w:lang w:val="en-US"/>
              </w:rPr>
              <w:t>Chipping</w:t>
            </w:r>
          </w:p>
          <w:p w:rsidR="003E20B0" w:rsidRPr="00487316" w:rsidRDefault="003E20B0" w:rsidP="003F00A3">
            <w:pPr>
              <w:rPr>
                <w:b w:val="0"/>
                <w:sz w:val="20"/>
                <w:szCs w:val="20"/>
                <w:lang w:val="en-US"/>
              </w:rPr>
            </w:pPr>
            <w:r w:rsidRPr="00487316">
              <w:rPr>
                <w:b w:val="0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4591" w:type="dxa"/>
          </w:tcPr>
          <w:p w:rsidR="003E20B0" w:rsidRPr="00487316" w:rsidRDefault="003E20B0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87316">
              <w:rPr>
                <w:sz w:val="20"/>
                <w:szCs w:val="20"/>
                <w:lang w:val="en-US"/>
              </w:rPr>
              <w:t>Indicator of silvicultural intervention efficiency (Stumpage value)</w:t>
            </w:r>
          </w:p>
        </w:tc>
      </w:tr>
      <w:tr w:rsidR="003E20B0" w:rsidRPr="00F753BE" w:rsidTr="003F00A3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:rsidR="003E20B0" w:rsidRPr="00487316" w:rsidRDefault="003E20B0" w:rsidP="003F00A3">
            <w:pPr>
              <w:rPr>
                <w:b w:val="0"/>
                <w:sz w:val="20"/>
                <w:szCs w:val="20"/>
                <w:lang w:val="en-US"/>
              </w:rPr>
            </w:pPr>
            <w:r w:rsidRPr="00487316">
              <w:rPr>
                <w:b w:val="0"/>
                <w:sz w:val="20"/>
                <w:szCs w:val="20"/>
                <w:lang w:val="en-US"/>
              </w:rPr>
              <w:t>Energy conversion</w:t>
            </w:r>
          </w:p>
        </w:tc>
        <w:tc>
          <w:tcPr>
            <w:tcW w:w="4591" w:type="dxa"/>
          </w:tcPr>
          <w:p w:rsidR="003E20B0" w:rsidRPr="00487316" w:rsidRDefault="003E20B0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87316">
              <w:rPr>
                <w:sz w:val="20"/>
                <w:szCs w:val="20"/>
                <w:lang w:val="en-US"/>
              </w:rPr>
              <w:t>Indicator of efficiency in log-term period (Break-even point Price to reset the Net Present Value of investment)</w:t>
            </w:r>
          </w:p>
        </w:tc>
      </w:tr>
    </w:tbl>
    <w:p w:rsidR="003E20B0" w:rsidRPr="00DA6DCF" w:rsidRDefault="001C2A61" w:rsidP="003E20B0">
      <w:pPr>
        <w:spacing w:line="276" w:lineRule="auto"/>
        <w:rPr>
          <w:sz w:val="22"/>
          <w:szCs w:val="22"/>
          <w:lang w:val="en-US"/>
        </w:rPr>
      </w:pPr>
      <w:r w:rsidRPr="00DA6DCF">
        <w:rPr>
          <w:sz w:val="22"/>
          <w:szCs w:val="22"/>
          <w:lang w:val="en-US" w:eastAsia="de-DE"/>
        </w:rPr>
        <w:fldChar w:fldCharType="begin"/>
      </w:r>
      <w:r w:rsidR="003E20B0" w:rsidRPr="00DA6DCF">
        <w:rPr>
          <w:sz w:val="22"/>
          <w:szCs w:val="22"/>
          <w:lang w:val="en-US" w:eastAsia="de-DE"/>
        </w:rPr>
        <w:instrText xml:space="preserve"> INCLUDEPICTURE "https://translate.googleusercontent.com/image_1.png" \* MERGEFORMATINET </w:instrText>
      </w:r>
      <w:r w:rsidRPr="00DA6DCF">
        <w:rPr>
          <w:sz w:val="22"/>
          <w:szCs w:val="22"/>
          <w:lang w:val="en-US" w:eastAsia="de-DE"/>
        </w:rPr>
        <w:fldChar w:fldCharType="end"/>
      </w: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707C3" w:rsidRDefault="003707C3">
      <w:pPr>
        <w:spacing w:after="160" w:line="259" w:lineRule="auto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br w:type="page"/>
      </w: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  <w:r w:rsidRPr="00487316">
        <w:rPr>
          <w:b/>
          <w:sz w:val="22"/>
          <w:szCs w:val="22"/>
          <w:lang w:val="en-US" w:eastAsia="de-DE"/>
        </w:rPr>
        <w:lastRenderedPageBreak/>
        <w:t>Table 2</w:t>
      </w:r>
      <w:r>
        <w:rPr>
          <w:sz w:val="22"/>
          <w:szCs w:val="22"/>
          <w:lang w:val="en-US" w:eastAsia="de-DE"/>
        </w:rPr>
        <w:t xml:space="preserve"> -</w:t>
      </w:r>
      <w:r w:rsidRPr="00DA6DCF">
        <w:rPr>
          <w:lang w:val="en-US" w:eastAsia="de-DE"/>
        </w:rPr>
        <w:t xml:space="preserve"> </w:t>
      </w:r>
      <w:r w:rsidRPr="00DA6DCF">
        <w:rPr>
          <w:sz w:val="22"/>
          <w:szCs w:val="22"/>
          <w:lang w:val="en-US" w:eastAsia="de-DE"/>
        </w:rPr>
        <w:t>Unit production costs and prices of woodchips</w:t>
      </w:r>
      <w:r w:rsidR="00147963">
        <w:rPr>
          <w:sz w:val="22"/>
          <w:szCs w:val="22"/>
          <w:lang w:val="en-US" w:eastAsia="de-DE"/>
        </w:rPr>
        <w:t>.</w:t>
      </w:r>
    </w:p>
    <w:tbl>
      <w:tblPr>
        <w:tblW w:w="81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817"/>
        <w:gridCol w:w="2502"/>
        <w:gridCol w:w="2141"/>
      </w:tblGrid>
      <w:tr w:rsidR="003E20B0" w:rsidRPr="00F753BE" w:rsidTr="003F00A3">
        <w:trPr>
          <w:trHeight w:val="20"/>
        </w:trPr>
        <w:tc>
          <w:tcPr>
            <w:tcW w:w="3518" w:type="dxa"/>
            <w:gridSpan w:val="2"/>
            <w:vMerge w:val="restar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487316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4643" w:type="dxa"/>
            <w:gridSpan w:val="2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/>
                <w:bCs/>
                <w:sz w:val="20"/>
                <w:szCs w:val="20"/>
                <w:lang w:val="en-US"/>
              </w:rPr>
              <w:t>Type of wood-energy supply chain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E20B0" w:rsidRPr="00487316" w:rsidTr="003F00A3">
        <w:trPr>
          <w:trHeight w:val="20"/>
        </w:trPr>
        <w:tc>
          <w:tcPr>
            <w:tcW w:w="0" w:type="auto"/>
            <w:gridSpan w:val="2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02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Monte Morello forest</w:t>
            </w:r>
          </w:p>
        </w:tc>
        <w:tc>
          <w:tcPr>
            <w:tcW w:w="2141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Ordinary conditions</w:t>
            </w:r>
          </w:p>
        </w:tc>
      </w:tr>
      <w:tr w:rsidR="003E20B0" w:rsidRPr="00487316" w:rsidTr="008202D2">
        <w:trPr>
          <w:trHeight w:val="20"/>
        </w:trPr>
        <w:tc>
          <w:tcPr>
            <w:tcW w:w="1701" w:type="dxa"/>
            <w:vMerge w:val="restar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02D2" w:rsidRDefault="00E11C4E" w:rsidP="003F00A3">
            <w:pPr>
              <w:pStyle w:val="NormaleWeb"/>
              <w:spacing w:before="0" w:beforeAutospacing="0" w:after="0" w:afterAutospacing="0"/>
              <w:jc w:val="center"/>
              <w:rPr>
                <w:rStyle w:val="notranslate"/>
                <w:sz w:val="20"/>
                <w:szCs w:val="20"/>
                <w:lang w:val="en-US"/>
              </w:rPr>
            </w:pPr>
            <w:r w:rsidRPr="00E11C4E">
              <w:rPr>
                <w:rStyle w:val="notranslate"/>
                <w:bCs/>
                <w:color w:val="FF0000"/>
                <w:sz w:val="20"/>
                <w:szCs w:val="20"/>
                <w:lang w:val="en-US"/>
              </w:rPr>
              <w:t>General</w:t>
            </w:r>
            <w:r w:rsidR="003E20B0" w:rsidRPr="00E11C4E">
              <w:rPr>
                <w:rStyle w:val="notranslate"/>
                <w:bCs/>
                <w:color w:val="FF0000"/>
                <w:sz w:val="20"/>
                <w:szCs w:val="20"/>
                <w:lang w:val="en-US"/>
              </w:rPr>
              <w:t xml:space="preserve"> costs</w:t>
            </w:r>
            <w:r w:rsidR="003E20B0" w:rsidRPr="00487316">
              <w:rPr>
                <w:rStyle w:val="notranslate"/>
                <w:sz w:val="20"/>
                <w:szCs w:val="20"/>
                <w:lang w:val="en-US"/>
              </w:rPr>
              <w:t xml:space="preserve"> </w:t>
            </w:r>
          </w:p>
          <w:p w:rsidR="008202D2" w:rsidRDefault="008202D2" w:rsidP="003F00A3">
            <w:pPr>
              <w:pStyle w:val="NormaleWeb"/>
              <w:spacing w:before="0" w:beforeAutospacing="0" w:after="0" w:afterAutospacing="0"/>
              <w:jc w:val="center"/>
              <w:rPr>
                <w:rStyle w:val="notranslate"/>
                <w:color w:val="FF0000"/>
                <w:sz w:val="20"/>
                <w:szCs w:val="20"/>
                <w:lang w:val="en-US"/>
              </w:rPr>
            </w:pPr>
            <w:r w:rsidRPr="008202D2">
              <w:rPr>
                <w:rStyle w:val="notranslate"/>
                <w:color w:val="FF0000"/>
                <w:sz w:val="20"/>
                <w:szCs w:val="20"/>
                <w:lang w:val="en-US"/>
              </w:rPr>
              <w:t>Functioning costs</w:t>
            </w:r>
          </w:p>
          <w:p w:rsidR="008202D2" w:rsidRPr="008202D2" w:rsidRDefault="008202D2" w:rsidP="003F00A3">
            <w:pPr>
              <w:pStyle w:val="NormaleWeb"/>
              <w:spacing w:before="0" w:beforeAutospacing="0" w:after="0" w:afterAutospacing="0"/>
              <w:jc w:val="center"/>
              <w:rPr>
                <w:rStyle w:val="notranslate"/>
                <w:color w:val="FF0000"/>
                <w:sz w:val="20"/>
                <w:szCs w:val="20"/>
                <w:lang w:val="en-US"/>
              </w:rPr>
            </w:pPr>
            <w:r>
              <w:rPr>
                <w:rStyle w:val="notranslate"/>
                <w:color w:val="FF0000"/>
                <w:sz w:val="20"/>
                <w:szCs w:val="20"/>
                <w:lang w:val="en-US"/>
              </w:rPr>
              <w:t>Transaction costs</w:t>
            </w:r>
          </w:p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rStyle w:val="notranslate"/>
                <w:bCs/>
                <w:sz w:val="20"/>
                <w:szCs w:val="20"/>
                <w:lang w:val="en-US"/>
              </w:rPr>
              <w:t xml:space="preserve">€ </w:t>
            </w: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 xml:space="preserve"> t</w:t>
            </w:r>
            <w:proofErr w:type="gramEnd"/>
            <w:r w:rsidRPr="00487316">
              <w:rPr>
                <w:rStyle w:val="notranslate"/>
                <w:bCs/>
                <w:sz w:val="20"/>
                <w:szCs w:val="20"/>
                <w:vertAlign w:val="superscript"/>
                <w:lang w:val="en-US"/>
              </w:rPr>
              <w:t>-1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Cutting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11.4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6.5 – 12.1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E20B0" w:rsidRPr="00487316" w:rsidTr="008202D2">
        <w:trPr>
          <w:trHeight w:val="20"/>
        </w:trPr>
        <w:tc>
          <w:tcPr>
            <w:tcW w:w="1701" w:type="dxa"/>
            <w:vMerge/>
            <w:tcBorders>
              <w:bottom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Logging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15.9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15.8 – 23.6</w:t>
            </w:r>
          </w:p>
        </w:tc>
      </w:tr>
      <w:tr w:rsidR="003E20B0" w:rsidRPr="00487316" w:rsidTr="008202D2">
        <w:trPr>
          <w:trHeight w:val="20"/>
        </w:trPr>
        <w:tc>
          <w:tcPr>
            <w:tcW w:w="1701" w:type="dxa"/>
            <w:vMerge/>
            <w:tcBorders>
              <w:bottom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Chipping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11.1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 xml:space="preserve">7.5 – 16.1 </w:t>
            </w:r>
          </w:p>
        </w:tc>
      </w:tr>
      <w:tr w:rsidR="003E20B0" w:rsidRPr="00487316" w:rsidTr="008202D2">
        <w:trPr>
          <w:trHeight w:val="20"/>
        </w:trPr>
        <w:tc>
          <w:tcPr>
            <w:tcW w:w="1701" w:type="dxa"/>
            <w:vMerge/>
            <w:tcBorders>
              <w:bottom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Transport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4.9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5.6 – 13.7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E20B0" w:rsidRPr="00487316" w:rsidTr="003F00A3">
        <w:trPr>
          <w:trHeight w:val="20"/>
        </w:trPr>
        <w:tc>
          <w:tcPr>
            <w:tcW w:w="35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 xml:space="preserve">Total production Cost </w:t>
            </w:r>
            <w:r>
              <w:rPr>
                <w:rStyle w:val="notranslate"/>
                <w:bCs/>
                <w:sz w:val="20"/>
                <w:szCs w:val="20"/>
                <w:lang w:val="en-US"/>
              </w:rPr>
              <w:t>(</w:t>
            </w: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€ t</w:t>
            </w:r>
            <w:r w:rsidRPr="00487316">
              <w:rPr>
                <w:rStyle w:val="notranslate"/>
                <w:bCs/>
                <w:sz w:val="20"/>
                <w:szCs w:val="20"/>
                <w:vertAlign w:val="superscript"/>
                <w:lang w:val="en-US"/>
              </w:rPr>
              <w:t>-1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/>
                <w:bCs/>
                <w:sz w:val="20"/>
                <w:szCs w:val="20"/>
                <w:lang w:val="en-US"/>
              </w:rPr>
              <w:t>43.3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/>
                <w:bCs/>
                <w:sz w:val="20"/>
                <w:szCs w:val="20"/>
                <w:lang w:val="en-US"/>
              </w:rPr>
              <w:t>35.4 - 65.5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E20B0" w:rsidRPr="00487316" w:rsidTr="008202D2"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Market prices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notranslate"/>
                <w:bCs/>
                <w:sz w:val="20"/>
                <w:szCs w:val="20"/>
                <w:lang w:val="en-US"/>
              </w:rPr>
              <w:t>€</w:t>
            </w: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 xml:space="preserve"> t</w:t>
            </w:r>
            <w:r w:rsidRPr="00487316">
              <w:rPr>
                <w:rStyle w:val="notranslate"/>
                <w:bCs/>
                <w:sz w:val="20"/>
                <w:szCs w:val="20"/>
                <w:vertAlign w:val="superscript"/>
                <w:lang w:val="en-US"/>
              </w:rPr>
              <w:t>-1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Roadside price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2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15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sz w:val="20"/>
                <w:szCs w:val="20"/>
                <w:lang w:val="en-US"/>
              </w:rPr>
              <w:t>30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E20B0" w:rsidRPr="00487316" w:rsidTr="008202D2">
        <w:trPr>
          <w:trHeight w:val="20"/>
        </w:trPr>
        <w:tc>
          <w:tcPr>
            <w:tcW w:w="1701" w:type="dxa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Ex-works price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Ex-dock price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02" w:type="dxa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/>
                <w:bCs/>
                <w:sz w:val="20"/>
                <w:szCs w:val="20"/>
                <w:lang w:val="en-US"/>
              </w:rPr>
              <w:t>47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316">
              <w:rPr>
                <w:rStyle w:val="notranslate"/>
                <w:b/>
                <w:bCs/>
                <w:sz w:val="20"/>
                <w:szCs w:val="20"/>
                <w:lang w:val="en-US"/>
              </w:rPr>
              <w:t>68</w:t>
            </w:r>
            <w:r w:rsidRPr="00487316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E20B0" w:rsidRPr="00DA6DCF" w:rsidRDefault="003E20B0" w:rsidP="003E20B0">
      <w:pPr>
        <w:spacing w:line="276" w:lineRule="auto"/>
        <w:rPr>
          <w:sz w:val="22"/>
          <w:szCs w:val="22"/>
          <w:lang w:val="en-US" w:eastAsia="de-DE"/>
        </w:rPr>
      </w:pPr>
    </w:p>
    <w:p w:rsidR="003E20B0" w:rsidRPr="00DA6DCF" w:rsidRDefault="003E20B0" w:rsidP="003E20B0">
      <w:pPr>
        <w:spacing w:line="276" w:lineRule="auto"/>
        <w:rPr>
          <w:color w:val="44546A"/>
          <w:sz w:val="22"/>
          <w:szCs w:val="22"/>
          <w:lang w:val="en-US" w:eastAsia="de-DE"/>
        </w:rPr>
      </w:pPr>
    </w:p>
    <w:p w:rsidR="003707C3" w:rsidRDefault="003707C3">
      <w:pPr>
        <w:spacing w:after="160" w:line="259" w:lineRule="auto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br w:type="page"/>
      </w:r>
    </w:p>
    <w:p w:rsidR="003E20B0" w:rsidRPr="00487316" w:rsidRDefault="003E20B0" w:rsidP="003E20B0">
      <w:pPr>
        <w:spacing w:line="276" w:lineRule="auto"/>
        <w:rPr>
          <w:sz w:val="22"/>
          <w:szCs w:val="22"/>
          <w:lang w:val="en-US" w:eastAsia="de-DE"/>
        </w:rPr>
      </w:pPr>
      <w:r w:rsidRPr="00487316">
        <w:rPr>
          <w:b/>
          <w:sz w:val="22"/>
          <w:szCs w:val="22"/>
          <w:lang w:val="en-US" w:eastAsia="de-DE"/>
        </w:rPr>
        <w:lastRenderedPageBreak/>
        <w:t>Table 3</w:t>
      </w:r>
      <w:r>
        <w:rPr>
          <w:sz w:val="22"/>
          <w:szCs w:val="22"/>
          <w:lang w:val="en-US" w:eastAsia="de-DE"/>
        </w:rPr>
        <w:t xml:space="preserve"> -</w:t>
      </w:r>
      <w:r w:rsidRPr="00DA6DCF">
        <w:rPr>
          <w:sz w:val="22"/>
          <w:szCs w:val="22"/>
          <w:lang w:val="en-US" w:eastAsia="de-DE"/>
        </w:rPr>
        <w:t xml:space="preserve"> Production costs and stumpage values</w:t>
      </w:r>
      <w:r w:rsidR="00147963">
        <w:rPr>
          <w:sz w:val="22"/>
          <w:szCs w:val="22"/>
          <w:lang w:val="en-US" w:eastAsia="de-DE"/>
        </w:rPr>
        <w:t>.</w:t>
      </w:r>
    </w:p>
    <w:tbl>
      <w:tblPr>
        <w:tblW w:w="50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247"/>
        <w:gridCol w:w="1646"/>
        <w:gridCol w:w="1246"/>
        <w:gridCol w:w="1246"/>
        <w:gridCol w:w="1001"/>
      </w:tblGrid>
      <w:tr w:rsidR="003E20B0" w:rsidRPr="00DA6DCF" w:rsidTr="003F00A3">
        <w:trPr>
          <w:trHeight w:val="20"/>
        </w:trPr>
        <w:tc>
          <w:tcPr>
            <w:tcW w:w="1535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bookmarkStart w:id="0" w:name="_GoBack" w:colFirst="1" w:colLast="3"/>
            <w:r w:rsidRPr="00DA6DCF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70" w:type="pct"/>
            <w:gridSpan w:val="2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F753BE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F753BE">
              <w:rPr>
                <w:rStyle w:val="notranslate"/>
                <w:b/>
                <w:bCs/>
                <w:sz w:val="20"/>
                <w:szCs w:val="20"/>
                <w:lang w:val="en-US"/>
              </w:rPr>
              <w:t xml:space="preserve">Monte Morello forest </w:t>
            </w:r>
          </w:p>
        </w:tc>
        <w:tc>
          <w:tcPr>
            <w:tcW w:w="1352" w:type="pct"/>
            <w:gridSpan w:val="2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F753BE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F753BE">
              <w:rPr>
                <w:rStyle w:val="notranslate"/>
                <w:b/>
                <w:bCs/>
                <w:sz w:val="20"/>
                <w:szCs w:val="20"/>
                <w:lang w:val="en-US"/>
              </w:rPr>
              <w:t>Ordinary condition</w:t>
            </w:r>
            <w:r w:rsidRPr="00F753B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43" w:type="pct"/>
            <w:vMerge w:val="restart"/>
            <w:tcBorders>
              <w:top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F753BE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F753BE">
              <w:rPr>
                <w:rStyle w:val="notranslate"/>
                <w:b/>
                <w:bCs/>
                <w:sz w:val="20"/>
                <w:szCs w:val="20"/>
                <w:lang w:val="en-US"/>
              </w:rPr>
              <w:t>Unit</w:t>
            </w:r>
          </w:p>
        </w:tc>
      </w:tr>
      <w:bookmarkEnd w:id="0"/>
      <w:tr w:rsidR="003E20B0" w:rsidRPr="00DA6DCF" w:rsidTr="003F00A3">
        <w:trPr>
          <w:trHeight w:val="20"/>
        </w:trPr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Type of thinning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DA6DCF">
              <w:rPr>
                <w:rStyle w:val="notranslate"/>
                <w:sz w:val="20"/>
                <w:szCs w:val="20"/>
                <w:lang w:val="en-US"/>
              </w:rPr>
              <w:t>Selective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DA6DCF">
              <w:rPr>
                <w:rStyle w:val="notranslate"/>
                <w:sz w:val="20"/>
                <w:szCs w:val="20"/>
                <w:lang w:val="en-US"/>
              </w:rPr>
              <w:t>Traditional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DA6DCF">
              <w:rPr>
                <w:rStyle w:val="notranslate"/>
                <w:sz w:val="20"/>
                <w:szCs w:val="20"/>
                <w:lang w:val="en-US"/>
              </w:rPr>
              <w:t>Selective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center"/>
              <w:rPr>
                <w:lang w:val="en-US"/>
              </w:rPr>
            </w:pPr>
            <w:r w:rsidRPr="00DA6DCF">
              <w:rPr>
                <w:rStyle w:val="notranslate"/>
                <w:sz w:val="20"/>
                <w:szCs w:val="20"/>
                <w:lang w:val="en-US"/>
              </w:rPr>
              <w:t>Traditional</w:t>
            </w:r>
          </w:p>
        </w:tc>
        <w:tc>
          <w:tcPr>
            <w:tcW w:w="543" w:type="pct"/>
            <w:vMerge/>
            <w:tcBorders>
              <w:top w:val="single" w:sz="6" w:space="0" w:color="7F7F7F"/>
            </w:tcBorders>
            <w:vAlign w:val="center"/>
            <w:hideMark/>
          </w:tcPr>
          <w:p w:rsidR="003E20B0" w:rsidRPr="00DA6DCF" w:rsidRDefault="003E20B0" w:rsidP="003F00A3">
            <w:pPr>
              <w:rPr>
                <w:lang w:val="en-US"/>
              </w:rPr>
            </w:pP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Thinning surface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4.73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5.35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4.73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5.35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Total production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698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517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698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517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Tons </w:t>
            </w:r>
            <w:proofErr w:type="spellStart"/>
            <w:r w:rsidRPr="00DA6DCF">
              <w:rPr>
                <w:color w:val="000000"/>
                <w:sz w:val="20"/>
                <w:szCs w:val="20"/>
                <w:lang w:val="en-US"/>
              </w:rPr>
              <w:t>f.m.</w:t>
            </w:r>
            <w:proofErr w:type="spellEnd"/>
            <w:r w:rsidRPr="00DA6DCF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Average production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148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97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148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97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Tons </w:t>
            </w:r>
            <w:proofErr w:type="spellStart"/>
            <w:r w:rsidRPr="00DA6DCF">
              <w:rPr>
                <w:color w:val="000000"/>
                <w:sz w:val="20"/>
                <w:szCs w:val="20"/>
                <w:lang w:val="en-US"/>
              </w:rPr>
              <w:t>f.m.</w:t>
            </w:r>
            <w:proofErr w:type="spellEnd"/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Cutting costs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7,956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5,895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6,481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4,802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bottom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1,682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1,102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1,370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897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Logging costs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11,167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8,273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13,759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10,195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bottom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2,361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1,546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2,908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1,905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bookmarkStart w:id="1" w:name="_Hlk536436043"/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bookmarkEnd w:id="1"/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Roadside total costs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19,123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14,168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20,240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14,997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bottom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4,043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2,648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4,278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2,802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Management, administrative and monitoring costs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956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708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1,012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750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Costs of contract, tree marking, testing, tax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628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465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1,256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931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Interest value</w:t>
            </w: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143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106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152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112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top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Harvested wood value (roadside)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10,469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7,757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20,937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15,513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top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2,213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1,449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4,425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2,898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96"/>
        </w:trPr>
        <w:tc>
          <w:tcPr>
            <w:tcW w:w="1535" w:type="pct"/>
            <w:vMerge w:val="restart"/>
            <w:tcBorders>
              <w:top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Stumpage value (roadside)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-10,382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- 7,691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- 1,724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- 1,277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72"/>
        </w:trPr>
        <w:tc>
          <w:tcPr>
            <w:tcW w:w="1535" w:type="pct"/>
            <w:vMerge/>
            <w:tcBorders>
              <w:top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-2,195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- 1,438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- 364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-239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top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Chipping costs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7,747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5,740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8,253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6,115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top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1,638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1,073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1,744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1,142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top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Transport costs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3,420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2,534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6,709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4,971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top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723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474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1,418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929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top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Total costs (ex-works / ex-dock)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32,017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23,721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37623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27876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top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6,769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4,434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7954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5,211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top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Harvested wood value (ex-works / ex-dock)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32,801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24,304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47457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35.163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top w:val="single" w:sz="6" w:space="0" w:color="7F7F7F"/>
            </w:tcBorders>
            <w:vAlign w:val="center"/>
            <w:hideMark/>
          </w:tcPr>
          <w:p w:rsidR="003E20B0" w:rsidRPr="00487316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6,933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4,540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10,033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sz w:val="18"/>
                <w:szCs w:val="18"/>
                <w:lang w:val="en-US"/>
              </w:rPr>
              <w:t>6,572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 w:val="restar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487316" w:rsidRDefault="003E20B0" w:rsidP="003F00A3">
            <w:pPr>
              <w:pStyle w:val="NormaleWeb"/>
              <w:spacing w:before="0" w:beforeAutospacing="0" w:after="0" w:afterAutospacing="0"/>
              <w:rPr>
                <w:lang w:val="en-US"/>
              </w:rPr>
            </w:pPr>
            <w:r w:rsidRPr="00487316">
              <w:rPr>
                <w:rStyle w:val="notranslate"/>
                <w:bCs/>
                <w:sz w:val="20"/>
                <w:szCs w:val="20"/>
                <w:lang w:val="en-US"/>
              </w:rPr>
              <w:t>Stumpage value (ex-works / ex-dock)</w:t>
            </w:r>
            <w:r w:rsidRPr="00487316">
              <w:rPr>
                <w:lang w:val="en-US"/>
              </w:rPr>
              <w:t xml:space="preserve"> </w:t>
            </w:r>
          </w:p>
        </w:tc>
        <w:tc>
          <w:tcPr>
            <w:tcW w:w="677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784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582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9,834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7,287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7F7F7F"/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3E20B0" w:rsidRPr="00DA6DCF" w:rsidTr="003F00A3">
        <w:trPr>
          <w:trHeight w:val="20"/>
        </w:trPr>
        <w:tc>
          <w:tcPr>
            <w:tcW w:w="1535" w:type="pct"/>
            <w:vMerge/>
            <w:tcBorders>
              <w:top w:val="single" w:sz="6" w:space="0" w:color="7F7F7F"/>
              <w:bottom w:val="single" w:sz="6" w:space="0" w:color="7F7F7F"/>
            </w:tcBorders>
            <w:vAlign w:val="center"/>
            <w:hideMark/>
          </w:tcPr>
          <w:p w:rsidR="003E20B0" w:rsidRPr="00DA6DCF" w:rsidRDefault="003E20B0" w:rsidP="003F00A3">
            <w:pPr>
              <w:rPr>
                <w:lang w:val="en-US"/>
              </w:rPr>
            </w:pPr>
          </w:p>
        </w:tc>
        <w:tc>
          <w:tcPr>
            <w:tcW w:w="677" w:type="pc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163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106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2,079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676" w:type="pc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0B0" w:rsidRPr="00DA6DCF" w:rsidRDefault="003E20B0" w:rsidP="003F00A3">
            <w:pPr>
              <w:pStyle w:val="NormaleWeb"/>
              <w:spacing w:before="0" w:beforeAutospacing="0" w:after="0" w:afterAutospacing="0"/>
              <w:ind w:firstLine="480"/>
              <w:jc w:val="right"/>
              <w:rPr>
                <w:lang w:val="en-US"/>
              </w:rPr>
            </w:pPr>
            <w:r w:rsidRPr="00DA6DCF">
              <w:rPr>
                <w:rStyle w:val="notranslate"/>
                <w:b/>
                <w:bCs/>
                <w:sz w:val="18"/>
                <w:szCs w:val="18"/>
                <w:lang w:val="en-US"/>
              </w:rPr>
              <w:t>1,362</w:t>
            </w:r>
            <w:r w:rsidRPr="00DA6DCF">
              <w:rPr>
                <w:lang w:val="en-US"/>
              </w:rPr>
              <w:t xml:space="preserve"> </w:t>
            </w:r>
          </w:p>
        </w:tc>
        <w:tc>
          <w:tcPr>
            <w:tcW w:w="543" w:type="pct"/>
            <w:tcBorders>
              <w:bottom w:val="single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€ </w:t>
            </w:r>
            <w:proofErr w:type="gramStart"/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ha</w:t>
            </w:r>
            <w:r w:rsidRPr="00DA6DCF">
              <w:rPr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proofErr w:type="gramEnd"/>
          </w:p>
        </w:tc>
      </w:tr>
    </w:tbl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jc w:val="both"/>
        <w:rPr>
          <w:rStyle w:val="notranslate"/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spacing w:line="276" w:lineRule="auto"/>
        <w:rPr>
          <w:sz w:val="22"/>
          <w:szCs w:val="22"/>
          <w:lang w:val="en-US" w:eastAsia="de-DE"/>
        </w:rPr>
      </w:pPr>
    </w:p>
    <w:p w:rsidR="003E20B0" w:rsidRDefault="003E20B0" w:rsidP="003E20B0">
      <w:pPr>
        <w:jc w:val="center"/>
        <w:rPr>
          <w:b/>
          <w:bCs/>
          <w:color w:val="000000"/>
          <w:sz w:val="22"/>
          <w:szCs w:val="22"/>
          <w:lang w:val="en-US"/>
        </w:rPr>
      </w:pPr>
    </w:p>
    <w:p w:rsidR="003E20B0" w:rsidRPr="00DA6DCF" w:rsidRDefault="003E20B0" w:rsidP="003E20B0">
      <w:pPr>
        <w:jc w:val="center"/>
        <w:rPr>
          <w:b/>
          <w:bCs/>
          <w:color w:val="000000"/>
          <w:sz w:val="22"/>
          <w:szCs w:val="22"/>
          <w:lang w:val="en-US"/>
        </w:rPr>
        <w:sectPr w:rsidR="003E20B0" w:rsidRPr="00DA6DCF" w:rsidSect="003F00A3">
          <w:footerReference w:type="even" r:id="rId6"/>
          <w:footerReference w:type="default" r:id="rId7"/>
          <w:pgSz w:w="11907" w:h="16840"/>
          <w:pgMar w:top="1418" w:right="1418" w:bottom="1134" w:left="1418" w:header="720" w:footer="720" w:gutter="0"/>
          <w:cols w:space="720"/>
        </w:sectPr>
      </w:pPr>
    </w:p>
    <w:p w:rsidR="003E20B0" w:rsidRPr="00487316" w:rsidRDefault="003E20B0" w:rsidP="003E20B0">
      <w:pPr>
        <w:spacing w:line="276" w:lineRule="auto"/>
        <w:rPr>
          <w:sz w:val="22"/>
          <w:szCs w:val="22"/>
          <w:lang w:val="en-US" w:eastAsia="de-DE"/>
        </w:rPr>
      </w:pPr>
      <w:r w:rsidRPr="00487316">
        <w:rPr>
          <w:b/>
          <w:sz w:val="22"/>
          <w:szCs w:val="22"/>
          <w:lang w:val="en-US" w:eastAsia="de-DE"/>
        </w:rPr>
        <w:lastRenderedPageBreak/>
        <w:t xml:space="preserve">Table </w:t>
      </w:r>
      <w:r w:rsidR="00AC1550">
        <w:rPr>
          <w:b/>
          <w:sz w:val="22"/>
          <w:szCs w:val="22"/>
          <w:lang w:val="en-US" w:eastAsia="de-DE"/>
        </w:rPr>
        <w:t>4</w:t>
      </w:r>
      <w:r w:rsidRPr="00DA6DCF">
        <w:rPr>
          <w:sz w:val="22"/>
          <w:szCs w:val="22"/>
          <w:lang w:val="en-US" w:eastAsia="de-DE"/>
        </w:rPr>
        <w:t xml:space="preserve"> </w:t>
      </w:r>
      <w:r>
        <w:rPr>
          <w:sz w:val="22"/>
          <w:szCs w:val="22"/>
          <w:lang w:val="en-US" w:eastAsia="de-DE"/>
        </w:rPr>
        <w:t xml:space="preserve">- </w:t>
      </w:r>
      <w:r w:rsidRPr="00DA6DCF">
        <w:rPr>
          <w:sz w:val="22"/>
          <w:szCs w:val="22"/>
          <w:lang w:val="en-US" w:eastAsia="de-DE"/>
        </w:rPr>
        <w:t>Current condition cash flow energy conversion system (pha</w:t>
      </w:r>
      <w:r>
        <w:rPr>
          <w:sz w:val="22"/>
          <w:szCs w:val="22"/>
          <w:lang w:val="en-US" w:eastAsia="de-DE"/>
        </w:rPr>
        <w:t>se 4): 23% thermal Energy sold</w:t>
      </w:r>
      <w:r w:rsidR="00147963">
        <w:rPr>
          <w:sz w:val="22"/>
          <w:szCs w:val="22"/>
          <w:lang w:val="en-US" w:eastAsia="de-DE"/>
        </w:rPr>
        <w:t>.</w:t>
      </w:r>
    </w:p>
    <w:tbl>
      <w:tblPr>
        <w:tblW w:w="27020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685"/>
        <w:gridCol w:w="1175"/>
        <w:gridCol w:w="951"/>
        <w:gridCol w:w="183"/>
        <w:gridCol w:w="951"/>
        <w:gridCol w:w="183"/>
        <w:gridCol w:w="951"/>
        <w:gridCol w:w="409"/>
        <w:gridCol w:w="725"/>
        <w:gridCol w:w="635"/>
        <w:gridCol w:w="216"/>
        <w:gridCol w:w="1134"/>
        <w:gridCol w:w="10"/>
        <w:gridCol w:w="982"/>
        <w:gridCol w:w="3670"/>
        <w:gridCol w:w="1360"/>
        <w:gridCol w:w="1360"/>
        <w:gridCol w:w="1360"/>
        <w:gridCol w:w="1360"/>
        <w:gridCol w:w="1360"/>
        <w:gridCol w:w="1360"/>
        <w:gridCol w:w="1360"/>
      </w:tblGrid>
      <w:tr w:rsidR="003E20B0" w:rsidRPr="00DA6DCF" w:rsidTr="003F00A3">
        <w:trPr>
          <w:gridAfter w:val="9"/>
          <w:wAfter w:w="14172" w:type="dxa"/>
          <w:trHeight w:val="410"/>
        </w:trPr>
        <w:tc>
          <w:tcPr>
            <w:tcW w:w="36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YEAR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% sold energy 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3E20B0" w:rsidRPr="00DA6DCF" w:rsidTr="003F00A3">
        <w:trPr>
          <w:gridAfter w:val="9"/>
          <w:wAfter w:w="14172" w:type="dxa"/>
          <w:trHeight w:val="28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Incomings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Electric energy sold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100%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Thermal energy sold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23%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649,500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649,500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649,500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649,500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649,500   </w:t>
            </w:r>
          </w:p>
        </w:tc>
      </w:tr>
      <w:tr w:rsidR="003E20B0" w:rsidRPr="00DA6DCF" w:rsidTr="003F00A3">
        <w:trPr>
          <w:gridAfter w:val="9"/>
          <w:wAfter w:w="14172" w:type="dxa"/>
          <w:trHeight w:val="82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Regional capital financing (measure 3.2 </w:t>
            </w:r>
            <w:proofErr w:type="spellStart"/>
            <w:r w:rsidRPr="00DA6DCF">
              <w:rPr>
                <w:color w:val="000000"/>
                <w:sz w:val="20"/>
                <w:szCs w:val="20"/>
                <w:lang w:val="en-US"/>
              </w:rPr>
              <w:t>DocUp</w:t>
            </w:r>
            <w:proofErr w:type="spellEnd"/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2005) amounting to 10% of total costs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739,000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gridAfter w:val="9"/>
          <w:wAfter w:w="14172" w:type="dxa"/>
          <w:trHeight w:val="167"/>
        </w:trPr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TOTAL INCOMINGS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739,000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1,937,500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1,937,500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1,937,500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1,937,500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1,937,500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Costs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gridAfter w:val="9"/>
          <w:wAfter w:w="14172" w:type="dxa"/>
          <w:trHeight w:val="8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Thermal energy pip</w:t>
            </w:r>
            <w:r w:rsidR="008963A5">
              <w:rPr>
                <w:color w:val="000000"/>
                <w:sz w:val="20"/>
                <w:szCs w:val="20"/>
                <w:lang w:val="en-US"/>
              </w:rPr>
              <w:t>eline</w:t>
            </w: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, buildings and methane substations realization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4,500,000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Combined heat and power system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4,500,000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Insurance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Methane for thermal substations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Self-consumed electric energy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Electric energy for system functioning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System maintenance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Wood chips acquire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Ash disposal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Water consumption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6DCF">
              <w:rPr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cost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</w:tr>
      <w:tr w:rsidR="003E20B0" w:rsidRPr="00DA6DCF" w:rsidTr="003F00A3">
        <w:trPr>
          <w:gridAfter w:val="9"/>
          <w:wAfter w:w="14172" w:type="dxa"/>
          <w:trHeight w:val="157"/>
        </w:trPr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TOTAL COSTS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9,000,000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</w:tr>
      <w:tr w:rsidR="003E20B0" w:rsidRPr="00DA6DCF" w:rsidTr="003F00A3">
        <w:trPr>
          <w:gridAfter w:val="9"/>
          <w:wAfter w:w="14172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NET CASH FLOW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-    8,261,000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587,914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587,914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587,914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587,914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587,914   </w:t>
            </w:r>
          </w:p>
        </w:tc>
      </w:tr>
      <w:tr w:rsidR="003E20B0" w:rsidRPr="00DA6DCF" w:rsidTr="003F00A3">
        <w:trPr>
          <w:gridAfter w:val="9"/>
          <w:wAfter w:w="14172" w:type="dxa"/>
          <w:trHeight w:val="288"/>
        </w:trPr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Discounted cash flow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-    8,261,000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562,232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537,672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514,185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491,724 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470,244   </w:t>
            </w:r>
          </w:p>
        </w:tc>
      </w:tr>
      <w:tr w:rsidR="003E20B0" w:rsidRPr="00DA6DCF" w:rsidTr="003F00A3">
        <w:trPr>
          <w:trHeight w:val="552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WOOD CHIPS MARKET PRICE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ex works (€ t f.m</w:t>
            </w:r>
            <w:r w:rsidRPr="00DA6DCF">
              <w:rPr>
                <w:color w:val="000000"/>
                <w:sz w:val="20"/>
                <w:szCs w:val="20"/>
                <w:lang w:val="en-US"/>
              </w:rPr>
              <w:t>.</w:t>
            </w:r>
            <w:r w:rsidRPr="00923AA2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47.0  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5578DB" w:rsidP="003F00A3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Discount rate</w:t>
            </w:r>
            <w:r w:rsidR="003E20B0" w:rsidRPr="00DA6D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1.5%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 NPV investment at 15 years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-     969,707  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NPV investment at 17 years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-       49,965  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NPV investment at 20 years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1,279,302  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E20B0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</w:pPr>
    </w:p>
    <w:p w:rsidR="003E20B0" w:rsidRPr="00DA6DCF" w:rsidRDefault="003E20B0" w:rsidP="003E20B0">
      <w:pPr>
        <w:pStyle w:val="NormaleWeb"/>
        <w:spacing w:before="0" w:beforeAutospacing="0" w:after="0" w:afterAutospacing="0" w:line="276" w:lineRule="auto"/>
        <w:ind w:left="284" w:hanging="284"/>
        <w:jc w:val="both"/>
        <w:rPr>
          <w:lang w:val="en-US"/>
        </w:rPr>
        <w:sectPr w:rsidR="003E20B0" w:rsidRPr="00DA6DCF" w:rsidSect="003F00A3">
          <w:pgSz w:w="16840" w:h="11907" w:orient="landscape"/>
          <w:pgMar w:top="1134" w:right="1418" w:bottom="1418" w:left="1134" w:header="720" w:footer="720" w:gutter="0"/>
          <w:cols w:space="720"/>
        </w:sectPr>
      </w:pPr>
    </w:p>
    <w:p w:rsidR="003E20B0" w:rsidRDefault="003E20B0" w:rsidP="003E20B0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  <w:r w:rsidRPr="00487316">
        <w:rPr>
          <w:b/>
          <w:sz w:val="22"/>
          <w:szCs w:val="22"/>
          <w:lang w:val="en-US" w:eastAsia="de-DE"/>
        </w:rPr>
        <w:lastRenderedPageBreak/>
        <w:t xml:space="preserve">Table </w:t>
      </w:r>
      <w:r w:rsidR="00AC1550">
        <w:rPr>
          <w:b/>
          <w:sz w:val="22"/>
          <w:szCs w:val="22"/>
          <w:lang w:val="en-US" w:eastAsia="de-DE"/>
        </w:rPr>
        <w:t>5</w:t>
      </w:r>
      <w:r w:rsidRPr="00487316">
        <w:rPr>
          <w:b/>
          <w:sz w:val="22"/>
          <w:szCs w:val="22"/>
          <w:lang w:val="en-US" w:eastAsia="de-DE"/>
        </w:rPr>
        <w:t xml:space="preserve"> </w:t>
      </w:r>
      <w:r>
        <w:rPr>
          <w:sz w:val="22"/>
          <w:szCs w:val="22"/>
          <w:lang w:val="en-US" w:eastAsia="de-DE"/>
        </w:rPr>
        <w:t xml:space="preserve">- </w:t>
      </w:r>
      <w:r w:rsidRPr="00DA6DCF">
        <w:rPr>
          <w:sz w:val="22"/>
          <w:szCs w:val="22"/>
          <w:lang w:val="en-US" w:eastAsia="de-DE"/>
        </w:rPr>
        <w:t>Better condition cash flow energy conversion system (phase 4): 50% thermal Energy sold</w:t>
      </w:r>
      <w:r w:rsidR="00147963">
        <w:rPr>
          <w:sz w:val="22"/>
          <w:szCs w:val="22"/>
          <w:lang w:val="en-US" w:eastAsia="de-DE"/>
        </w:rPr>
        <w:t>.</w:t>
      </w:r>
    </w:p>
    <w:tbl>
      <w:tblPr>
        <w:tblW w:w="27120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1500"/>
        <w:gridCol w:w="1035"/>
        <w:gridCol w:w="1134"/>
        <w:gridCol w:w="993"/>
        <w:gridCol w:w="141"/>
        <w:gridCol w:w="993"/>
        <w:gridCol w:w="367"/>
        <w:gridCol w:w="767"/>
        <w:gridCol w:w="593"/>
        <w:gridCol w:w="682"/>
        <w:gridCol w:w="678"/>
        <w:gridCol w:w="456"/>
        <w:gridCol w:w="1134"/>
        <w:gridCol w:w="3487"/>
        <w:gridCol w:w="1360"/>
        <w:gridCol w:w="1360"/>
        <w:gridCol w:w="1360"/>
        <w:gridCol w:w="1360"/>
        <w:gridCol w:w="1360"/>
        <w:gridCol w:w="1360"/>
        <w:gridCol w:w="1360"/>
      </w:tblGrid>
      <w:tr w:rsidR="003E20B0" w:rsidRPr="00DA6DCF" w:rsidTr="003F00A3">
        <w:trPr>
          <w:gridAfter w:val="10"/>
          <w:wAfter w:w="14597" w:type="dxa"/>
          <w:trHeight w:val="410"/>
        </w:trPr>
        <w:tc>
          <w:tcPr>
            <w:tcW w:w="36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YEAR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% sold energy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3E20B0" w:rsidRPr="00DA6DCF" w:rsidTr="003F00A3">
        <w:trPr>
          <w:gridAfter w:val="10"/>
          <w:wAfter w:w="14597" w:type="dxa"/>
          <w:trHeight w:val="28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Incomings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Electric energy sold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100%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1,288,000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Thermal energy sold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50%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1,428,900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1,428,900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1,428,900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1,428,900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1,428,900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828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Regional capital financing (measure 3.2 </w:t>
            </w:r>
            <w:proofErr w:type="spellStart"/>
            <w:r w:rsidRPr="00DA6DCF">
              <w:rPr>
                <w:color w:val="000000"/>
                <w:sz w:val="20"/>
                <w:szCs w:val="20"/>
                <w:lang w:val="en-US"/>
              </w:rPr>
              <w:t>DocUp</w:t>
            </w:r>
            <w:proofErr w:type="spellEnd"/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2005) amounting to 10% of total costs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739,000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gridAfter w:val="10"/>
          <w:wAfter w:w="14597" w:type="dxa"/>
          <w:trHeight w:val="125"/>
        </w:trPr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TOTAL INCOMINGS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739,000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2,716,900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2,716,900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2,716,900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2,716,900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2,716,900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Costs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gridAfter w:val="10"/>
          <w:wAfter w:w="14597" w:type="dxa"/>
          <w:trHeight w:val="8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Thermal energy pip</w:t>
            </w:r>
            <w:r w:rsidR="008963A5">
              <w:rPr>
                <w:color w:val="000000"/>
                <w:sz w:val="20"/>
                <w:szCs w:val="20"/>
                <w:lang w:val="en-US"/>
              </w:rPr>
              <w:t>eline</w:t>
            </w: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, buildings and methane substations realization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4,500,000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Combined heat and power system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4,500,000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Insurance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40,000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Methane for thermal substations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83,640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Self-consumed electric energy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174,000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Electric energy for system functioning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8,971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System maintenance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150,000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Wood chips acquire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587,500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Ash disposal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65,475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Water consumption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10,000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6DCF">
              <w:rPr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cost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230,000   </w:t>
            </w:r>
          </w:p>
        </w:tc>
      </w:tr>
      <w:tr w:rsidR="003E20B0" w:rsidRPr="00DA6DCF" w:rsidTr="003F00A3">
        <w:trPr>
          <w:gridAfter w:val="10"/>
          <w:wAfter w:w="14597" w:type="dxa"/>
          <w:trHeight w:val="80"/>
        </w:trPr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TOTAL COSTS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9,000,000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1,349,586   </w:t>
            </w:r>
          </w:p>
        </w:tc>
      </w:tr>
      <w:tr w:rsidR="003E20B0" w:rsidRPr="00DA6DCF" w:rsidTr="003F00A3">
        <w:trPr>
          <w:gridAfter w:val="10"/>
          <w:wAfter w:w="14597" w:type="dxa"/>
          <w:trHeight w:val="276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NET CASH FLOW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-    8,261,000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1,367,314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1,367,314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1,367,314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1,367,314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1,367,314   </w:t>
            </w:r>
          </w:p>
        </w:tc>
      </w:tr>
      <w:tr w:rsidR="003E20B0" w:rsidRPr="00DA6DCF" w:rsidTr="003F00A3">
        <w:trPr>
          <w:gridAfter w:val="10"/>
          <w:wAfter w:w="14597" w:type="dxa"/>
          <w:trHeight w:val="169"/>
        </w:trPr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Discounted cash flow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-    8,261,000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1,307,585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1,250,466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1,195,842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1,143,604  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1,093,648   </w:t>
            </w:r>
          </w:p>
        </w:tc>
      </w:tr>
      <w:tr w:rsidR="003E20B0" w:rsidRPr="00DA6DCF" w:rsidTr="003F00A3">
        <w:trPr>
          <w:trHeight w:val="552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WOOD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CHIPS MARKET PRICE ex works (€ </w:t>
            </w:r>
            <w:r w:rsidRPr="00DA6DCF">
              <w:rPr>
                <w:color w:val="000000"/>
                <w:sz w:val="20"/>
                <w:szCs w:val="20"/>
                <w:lang w:val="en-US"/>
              </w:rPr>
              <w:t>t f.</w:t>
            </w:r>
            <w:r>
              <w:rPr>
                <w:color w:val="000000"/>
                <w:sz w:val="20"/>
                <w:szCs w:val="20"/>
                <w:lang w:val="en-US"/>
              </w:rPr>
              <w:t>m</w:t>
            </w:r>
            <w:r w:rsidRPr="00DA6DCF">
              <w:rPr>
                <w:color w:val="000000"/>
                <w:sz w:val="20"/>
                <w:szCs w:val="20"/>
                <w:lang w:val="en-US"/>
              </w:rPr>
              <w:t>.</w:t>
            </w:r>
            <w:r w:rsidRPr="00923AA2">
              <w:rPr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 xml:space="preserve">              47.0  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 Discount </w:t>
            </w:r>
            <w:r w:rsidR="005578DB">
              <w:rPr>
                <w:color w:val="000000"/>
                <w:sz w:val="20"/>
                <w:szCs w:val="20"/>
                <w:lang w:val="en-US"/>
              </w:rPr>
              <w:t>rate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color w:val="000000"/>
                <w:sz w:val="20"/>
                <w:szCs w:val="20"/>
                <w:lang w:val="en-US"/>
              </w:rPr>
              <w:t>1.5%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NPV investment at 15 years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8,667,801  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NPV investment at 17 years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10,806,849  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E20B0" w:rsidRPr="00DA6DCF" w:rsidTr="003F00A3">
        <w:trPr>
          <w:trHeight w:val="276"/>
        </w:trPr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NPV investment at 20 years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A6DC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13,898,331  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B0" w:rsidRPr="00DA6DCF" w:rsidRDefault="003E20B0" w:rsidP="003F00A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E20B0" w:rsidRDefault="003E20B0" w:rsidP="003E20B0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</w:p>
    <w:p w:rsidR="00EC76E7" w:rsidRDefault="00EC76E7" w:rsidP="003E20B0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</w:p>
    <w:p w:rsidR="00321715" w:rsidRDefault="00321715">
      <w:pPr>
        <w:spacing w:after="160" w:line="259" w:lineRule="auto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br w:type="page"/>
      </w:r>
    </w:p>
    <w:p w:rsidR="00EC76E7" w:rsidRPr="00DA6DCF" w:rsidRDefault="00EC76E7" w:rsidP="003E20B0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  <w:r w:rsidRPr="00487316">
        <w:rPr>
          <w:b/>
          <w:sz w:val="22"/>
          <w:szCs w:val="22"/>
          <w:lang w:val="en-US" w:eastAsia="de-DE"/>
        </w:rPr>
        <w:lastRenderedPageBreak/>
        <w:t xml:space="preserve">Table </w:t>
      </w:r>
      <w:r>
        <w:rPr>
          <w:b/>
          <w:sz w:val="22"/>
          <w:szCs w:val="22"/>
          <w:lang w:val="en-US" w:eastAsia="de-DE"/>
        </w:rPr>
        <w:t>6</w:t>
      </w:r>
      <w:r w:rsidRPr="00487316">
        <w:rPr>
          <w:b/>
          <w:sz w:val="22"/>
          <w:szCs w:val="22"/>
          <w:lang w:val="en-US" w:eastAsia="de-DE"/>
        </w:rPr>
        <w:t xml:space="preserve"> </w:t>
      </w:r>
      <w:r>
        <w:rPr>
          <w:sz w:val="22"/>
          <w:szCs w:val="22"/>
          <w:lang w:val="en-US" w:eastAsia="de-DE"/>
        </w:rPr>
        <w:t xml:space="preserve">– Sensitive analysis of </w:t>
      </w:r>
      <w:r w:rsidRPr="00EC76E7">
        <w:rPr>
          <w:sz w:val="22"/>
          <w:szCs w:val="22"/>
          <w:lang w:val="en-US" w:eastAsia="de-DE"/>
        </w:rPr>
        <w:t xml:space="preserve">Price of </w:t>
      </w:r>
      <w:r w:rsidR="00321715" w:rsidRPr="00EC76E7">
        <w:rPr>
          <w:sz w:val="22"/>
          <w:szCs w:val="22"/>
          <w:lang w:val="en-US" w:eastAsia="de-DE"/>
        </w:rPr>
        <w:t>Break</w:t>
      </w:r>
      <w:r w:rsidRPr="00EC76E7">
        <w:rPr>
          <w:sz w:val="22"/>
          <w:szCs w:val="22"/>
          <w:lang w:val="en-US" w:eastAsia="de-DE"/>
        </w:rPr>
        <w:t xml:space="preserve"> Even Point (euro/ton </w:t>
      </w:r>
      <w:proofErr w:type="spellStart"/>
      <w:r w:rsidRPr="00EC76E7">
        <w:rPr>
          <w:sz w:val="22"/>
          <w:szCs w:val="22"/>
          <w:lang w:val="en-US" w:eastAsia="de-DE"/>
        </w:rPr>
        <w:t>f.m.</w:t>
      </w:r>
      <w:proofErr w:type="spellEnd"/>
      <w:r w:rsidRPr="00EC76E7">
        <w:rPr>
          <w:sz w:val="22"/>
          <w:szCs w:val="22"/>
          <w:lang w:val="en-US" w:eastAsia="de-DE"/>
        </w:rPr>
        <w:t>)</w:t>
      </w:r>
      <w:r>
        <w:rPr>
          <w:sz w:val="22"/>
          <w:szCs w:val="22"/>
          <w:lang w:val="en-US" w:eastAsia="de-DE"/>
        </w:rPr>
        <w:t xml:space="preserve"> in relation to the </w:t>
      </w:r>
      <w:r w:rsidRPr="00DA6DCF">
        <w:rPr>
          <w:sz w:val="22"/>
          <w:szCs w:val="22"/>
          <w:lang w:val="en-US" w:eastAsia="de-DE"/>
        </w:rPr>
        <w:t>thermal Energy sold</w:t>
      </w:r>
      <w:r>
        <w:rPr>
          <w:sz w:val="22"/>
          <w:szCs w:val="22"/>
          <w:lang w:val="en-US" w:eastAsia="de-DE"/>
        </w:rPr>
        <w:t xml:space="preserve"> and discount rate</w:t>
      </w:r>
      <w:r w:rsidR="00147963">
        <w:rPr>
          <w:sz w:val="22"/>
          <w:szCs w:val="22"/>
          <w:lang w:val="en-US" w:eastAsia="de-DE"/>
        </w:rPr>
        <w:t>.</w:t>
      </w:r>
    </w:p>
    <w:tbl>
      <w:tblPr>
        <w:tblStyle w:val="Tabellasemplice-2"/>
        <w:tblW w:w="13149" w:type="dxa"/>
        <w:tblLayout w:type="fixed"/>
        <w:tblLook w:val="04A0" w:firstRow="1" w:lastRow="0" w:firstColumn="1" w:lastColumn="0" w:noHBand="0" w:noVBand="1"/>
      </w:tblPr>
      <w:tblGrid>
        <w:gridCol w:w="1101"/>
        <w:gridCol w:w="61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29"/>
      </w:tblGrid>
      <w:tr w:rsidR="00EC76E7" w:rsidRPr="00F753BE" w:rsidTr="00321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Discount rate </w:t>
            </w:r>
          </w:p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(%)</w:t>
            </w:r>
          </w:p>
        </w:tc>
        <w:tc>
          <w:tcPr>
            <w:tcW w:w="12048" w:type="dxa"/>
            <w:gridSpan w:val="11"/>
            <w:noWrap/>
            <w:hideMark/>
          </w:tcPr>
          <w:p w:rsidR="00EC76E7" w:rsidRPr="00321715" w:rsidRDefault="00EC76E7" w:rsidP="00C77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AU"/>
              </w:rPr>
            </w:pPr>
            <w:r w:rsidRPr="00321715">
              <w:rPr>
                <w:color w:val="000000"/>
                <w:sz w:val="22"/>
                <w:szCs w:val="22"/>
                <w:lang w:val="en-AU"/>
              </w:rPr>
              <w:t>Thermal Energy sold</w:t>
            </w:r>
            <w:r w:rsidR="00C774C0" w:rsidRPr="00321715">
              <w:rPr>
                <w:color w:val="000000"/>
                <w:sz w:val="22"/>
                <w:szCs w:val="22"/>
                <w:lang w:val="en-AU"/>
              </w:rPr>
              <w:t xml:space="preserve"> (</w:t>
            </w:r>
            <w:proofErr w:type="spellStart"/>
            <w:r w:rsidR="00C774C0" w:rsidRPr="00321715">
              <w:rPr>
                <w:color w:val="000000"/>
                <w:sz w:val="22"/>
                <w:szCs w:val="22"/>
                <w:lang w:val="en-AU"/>
              </w:rPr>
              <w:t>KWh</w:t>
            </w:r>
            <w:proofErr w:type="spellEnd"/>
            <w:r w:rsidR="00C774C0" w:rsidRPr="00321715">
              <w:rPr>
                <w:color w:val="000000"/>
                <w:sz w:val="22"/>
                <w:szCs w:val="22"/>
                <w:lang w:val="en-AU"/>
              </w:rPr>
              <w:t>/</w:t>
            </w:r>
            <w:proofErr w:type="spellStart"/>
            <w:r w:rsidR="00C774C0" w:rsidRPr="00321715">
              <w:rPr>
                <w:color w:val="000000"/>
                <w:sz w:val="22"/>
                <w:szCs w:val="22"/>
                <w:lang w:val="en-AU"/>
              </w:rPr>
              <w:t>yr</w:t>
            </w:r>
            <w:proofErr w:type="spellEnd"/>
            <w:r w:rsidR="00C774C0" w:rsidRPr="00321715">
              <w:rPr>
                <w:color w:val="000000"/>
                <w:sz w:val="22"/>
                <w:szCs w:val="22"/>
                <w:lang w:val="en-AU"/>
              </w:rPr>
              <w:t>) - &amp; - T</w:t>
            </w:r>
            <w:r w:rsidRPr="00321715">
              <w:rPr>
                <w:color w:val="000000"/>
                <w:sz w:val="22"/>
                <w:szCs w:val="22"/>
                <w:lang w:val="en-AU"/>
              </w:rPr>
              <w:t xml:space="preserve">otal thermal energy </w:t>
            </w:r>
            <w:r w:rsidR="00C774C0" w:rsidRPr="00321715">
              <w:rPr>
                <w:color w:val="000000"/>
                <w:sz w:val="22"/>
                <w:szCs w:val="22"/>
                <w:lang w:val="en-AU"/>
              </w:rPr>
              <w:t xml:space="preserve">sold respect </w:t>
            </w:r>
            <w:r w:rsidRPr="00321715">
              <w:rPr>
                <w:color w:val="000000"/>
                <w:sz w:val="22"/>
                <w:szCs w:val="22"/>
                <w:lang w:val="en-AU"/>
              </w:rPr>
              <w:t>produced</w:t>
            </w:r>
            <w:r w:rsidR="00C774C0" w:rsidRPr="00321715">
              <w:rPr>
                <w:color w:val="000000"/>
                <w:sz w:val="22"/>
                <w:szCs w:val="22"/>
                <w:lang w:val="en-AU"/>
              </w:rPr>
              <w:t xml:space="preserve"> (%)</w:t>
            </w:r>
          </w:p>
        </w:tc>
      </w:tr>
      <w:tr w:rsidR="00EC76E7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hideMark/>
          </w:tcPr>
          <w:p w:rsidR="00EC76E7" w:rsidRPr="00321715" w:rsidRDefault="00EC76E7" w:rsidP="00EC76E7">
            <w:pPr>
              <w:rPr>
                <w:color w:val="000000"/>
                <w:lang w:val="en-AU"/>
              </w:rPr>
            </w:pP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1,100,000  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2,200,000  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3,300,000  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4,400,000  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5,500,000  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6,600,000  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7,700,000  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8,800,000   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9,900,000   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11,000,000   </w:t>
            </w:r>
          </w:p>
        </w:tc>
      </w:tr>
      <w:tr w:rsidR="00EC76E7" w:rsidRPr="00321715" w:rsidTr="003217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hideMark/>
          </w:tcPr>
          <w:p w:rsidR="00EC76E7" w:rsidRPr="00321715" w:rsidRDefault="00EC76E7" w:rsidP="00EC76E7">
            <w:pPr>
              <w:rPr>
                <w:color w:val="000000"/>
              </w:rPr>
            </w:pPr>
          </w:p>
        </w:tc>
        <w:tc>
          <w:tcPr>
            <w:tcW w:w="613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35%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45%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32171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50%</w:t>
            </w:r>
          </w:p>
        </w:tc>
      </w:tr>
      <w:tr w:rsidR="00EC76E7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1.0%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5.5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16.1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37.3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69.2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79.8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90.4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101.0</w:t>
            </w:r>
          </w:p>
        </w:tc>
      </w:tr>
      <w:tr w:rsidR="00EC76E7" w:rsidRPr="00321715" w:rsidTr="003217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1.5%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24.8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35.4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77.7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88.3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98.9</w:t>
            </w:r>
          </w:p>
        </w:tc>
      </w:tr>
      <w:tr w:rsidR="00EC76E7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2.0%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12.3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22.9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75.7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86.3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96.8</w:t>
            </w:r>
          </w:p>
        </w:tc>
      </w:tr>
      <w:tr w:rsidR="00EC76E7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2.5%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10.3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20.9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31.4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52.6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63.1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84.1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94.6</w:t>
            </w:r>
          </w:p>
        </w:tc>
      </w:tr>
      <w:tr w:rsidR="00EC76E7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3.0%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18.8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29.2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50.3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60.9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71.5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81.9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92.4</w:t>
            </w:r>
          </w:p>
        </w:tc>
      </w:tr>
      <w:tr w:rsidR="00EC76E7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3.5%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16.9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27.2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37.7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48.2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58.7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69.4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79.6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90.1</w:t>
            </w:r>
          </w:p>
        </w:tc>
      </w:tr>
      <w:tr w:rsidR="00EC76E7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4.0%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14.6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35.4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46.1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56.4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77.4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87.8</w:t>
            </w:r>
          </w:p>
        </w:tc>
      </w:tr>
      <w:tr w:rsidR="00EC76E7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4.5%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12.4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22.9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33.1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64.9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75.2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85.5</w:t>
            </w:r>
          </w:p>
        </w:tc>
      </w:tr>
      <w:tr w:rsidR="00EC76E7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5.0%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10.2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20.6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62.3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83.1</w:t>
            </w:r>
          </w:p>
        </w:tc>
      </w:tr>
      <w:tr w:rsidR="00EC76E7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5.5%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18.1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28.7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39.2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49.7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80.6</w:t>
            </w:r>
          </w:p>
        </w:tc>
      </w:tr>
      <w:tr w:rsidR="00EC76E7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6.0%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16.1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26.4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36.8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78.2</w:t>
            </w:r>
          </w:p>
        </w:tc>
      </w:tr>
      <w:tr w:rsidR="00EC76E7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6.5%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34.4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229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75.7</w:t>
            </w:r>
          </w:p>
        </w:tc>
      </w:tr>
      <w:tr w:rsidR="00EC76E7" w:rsidRPr="00EC76E7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EC76E7" w:rsidRPr="00321715" w:rsidRDefault="00EC76E7" w:rsidP="00EC76E7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7.0%</w:t>
            </w:r>
          </w:p>
        </w:tc>
        <w:tc>
          <w:tcPr>
            <w:tcW w:w="613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N.E.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21.7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1134" w:type="dxa"/>
            <w:noWrap/>
            <w:hideMark/>
          </w:tcPr>
          <w:p w:rsidR="00EC76E7" w:rsidRPr="00321715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62.8</w:t>
            </w:r>
          </w:p>
        </w:tc>
        <w:tc>
          <w:tcPr>
            <w:tcW w:w="1229" w:type="dxa"/>
            <w:noWrap/>
            <w:hideMark/>
          </w:tcPr>
          <w:p w:rsidR="00EC76E7" w:rsidRPr="00EC76E7" w:rsidRDefault="00EC76E7" w:rsidP="00EC76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21715">
              <w:rPr>
                <w:b/>
                <w:bCs/>
                <w:color w:val="000000"/>
                <w:sz w:val="22"/>
                <w:szCs w:val="22"/>
              </w:rPr>
              <w:t>73.1</w:t>
            </w:r>
          </w:p>
        </w:tc>
      </w:tr>
    </w:tbl>
    <w:p w:rsidR="003714BC" w:rsidRDefault="00AF260A">
      <w:pPr>
        <w:rPr>
          <w:lang w:val="en-AU"/>
        </w:rPr>
      </w:pPr>
      <w:r w:rsidRPr="00AF260A">
        <w:rPr>
          <w:b/>
          <w:lang w:val="en-AU"/>
        </w:rPr>
        <w:t>Bold</w:t>
      </w:r>
      <w:r w:rsidRPr="00AF260A">
        <w:rPr>
          <w:lang w:val="en-AU"/>
        </w:rPr>
        <w:t xml:space="preserve"> </w:t>
      </w:r>
      <w:r>
        <w:rPr>
          <w:lang w:val="en-AU"/>
        </w:rPr>
        <w:t>=</w:t>
      </w:r>
      <w:r w:rsidRPr="00AF260A">
        <w:rPr>
          <w:lang w:val="en-AU"/>
        </w:rPr>
        <w:t xml:space="preserve"> </w:t>
      </w:r>
      <w:r>
        <w:rPr>
          <w:lang w:val="en-AU"/>
        </w:rPr>
        <w:t>woodchips</w:t>
      </w:r>
      <w:r w:rsidR="00C774C0">
        <w:rPr>
          <w:lang w:val="en-AU"/>
        </w:rPr>
        <w:t xml:space="preserve"> </w:t>
      </w:r>
      <w:proofErr w:type="spellStart"/>
      <w:r w:rsidR="00C774C0" w:rsidRPr="00C774C0">
        <w:rPr>
          <w:i/>
          <w:lang w:val="en-AU"/>
        </w:rPr>
        <w:t>Pbep</w:t>
      </w:r>
      <w:proofErr w:type="spellEnd"/>
      <w:r w:rsidRPr="00AF260A">
        <w:rPr>
          <w:lang w:val="en-AU"/>
        </w:rPr>
        <w:t xml:space="preserve"> &gt; production costs of the supply chain</w:t>
      </w:r>
    </w:p>
    <w:p w:rsidR="003F00A3" w:rsidRDefault="003F00A3">
      <w:pPr>
        <w:rPr>
          <w:lang w:val="en-AU"/>
        </w:rPr>
      </w:pPr>
    </w:p>
    <w:p w:rsidR="00321715" w:rsidRDefault="00321715">
      <w:pPr>
        <w:spacing w:after="160" w:line="259" w:lineRule="auto"/>
        <w:rPr>
          <w:b/>
          <w:sz w:val="22"/>
          <w:szCs w:val="22"/>
          <w:lang w:val="en-US" w:eastAsia="de-DE"/>
        </w:rPr>
      </w:pPr>
      <w:r>
        <w:rPr>
          <w:b/>
          <w:sz w:val="22"/>
          <w:szCs w:val="22"/>
          <w:lang w:val="en-US" w:eastAsia="de-DE"/>
        </w:rPr>
        <w:br w:type="page"/>
      </w:r>
    </w:p>
    <w:p w:rsidR="00AA6A61" w:rsidRPr="00AA6A61" w:rsidRDefault="00AA6A61" w:rsidP="00AA6A61">
      <w:pPr>
        <w:pStyle w:val="NormaleWeb"/>
        <w:spacing w:before="0" w:beforeAutospacing="0" w:after="0" w:afterAutospacing="0" w:line="276" w:lineRule="auto"/>
        <w:jc w:val="both"/>
        <w:rPr>
          <w:lang w:val="en-US"/>
        </w:rPr>
      </w:pPr>
      <w:r w:rsidRPr="00487316">
        <w:rPr>
          <w:b/>
          <w:sz w:val="22"/>
          <w:szCs w:val="22"/>
          <w:lang w:val="en-US" w:eastAsia="de-DE"/>
        </w:rPr>
        <w:lastRenderedPageBreak/>
        <w:t xml:space="preserve">Table </w:t>
      </w:r>
      <w:r>
        <w:rPr>
          <w:b/>
          <w:sz w:val="22"/>
          <w:szCs w:val="22"/>
          <w:lang w:val="en-US" w:eastAsia="de-DE"/>
        </w:rPr>
        <w:t>7</w:t>
      </w:r>
      <w:r w:rsidRPr="00487316">
        <w:rPr>
          <w:b/>
          <w:sz w:val="22"/>
          <w:szCs w:val="22"/>
          <w:lang w:val="en-US" w:eastAsia="de-DE"/>
        </w:rPr>
        <w:t xml:space="preserve"> </w:t>
      </w:r>
      <w:r>
        <w:rPr>
          <w:sz w:val="22"/>
          <w:szCs w:val="22"/>
          <w:lang w:val="en-US" w:eastAsia="de-DE"/>
        </w:rPr>
        <w:t xml:space="preserve">– Sensitive analysis of “variation” of </w:t>
      </w:r>
      <w:r w:rsidRPr="00EC76E7">
        <w:rPr>
          <w:sz w:val="22"/>
          <w:szCs w:val="22"/>
          <w:lang w:val="en-US" w:eastAsia="de-DE"/>
        </w:rPr>
        <w:t xml:space="preserve">Price of </w:t>
      </w:r>
      <w:r w:rsidR="00321715" w:rsidRPr="00EC76E7">
        <w:rPr>
          <w:sz w:val="22"/>
          <w:szCs w:val="22"/>
          <w:lang w:val="en-US" w:eastAsia="de-DE"/>
        </w:rPr>
        <w:t>Break</w:t>
      </w:r>
      <w:r w:rsidRPr="00EC76E7">
        <w:rPr>
          <w:sz w:val="22"/>
          <w:szCs w:val="22"/>
          <w:lang w:val="en-US" w:eastAsia="de-DE"/>
        </w:rPr>
        <w:t xml:space="preserve"> Even Point (euro/ton </w:t>
      </w:r>
      <w:proofErr w:type="spellStart"/>
      <w:r w:rsidRPr="00EC76E7">
        <w:rPr>
          <w:sz w:val="22"/>
          <w:szCs w:val="22"/>
          <w:lang w:val="en-US" w:eastAsia="de-DE"/>
        </w:rPr>
        <w:t>f.m.</w:t>
      </w:r>
      <w:proofErr w:type="spellEnd"/>
      <w:r w:rsidRPr="00EC76E7">
        <w:rPr>
          <w:sz w:val="22"/>
          <w:szCs w:val="22"/>
          <w:lang w:val="en-US" w:eastAsia="de-DE"/>
        </w:rPr>
        <w:t>)</w:t>
      </w:r>
      <w:r>
        <w:rPr>
          <w:sz w:val="22"/>
          <w:szCs w:val="22"/>
          <w:lang w:val="en-US" w:eastAsia="de-DE"/>
        </w:rPr>
        <w:t xml:space="preserve"> in relation to the “variation” of </w:t>
      </w:r>
      <w:r w:rsidRPr="00DA6DCF">
        <w:rPr>
          <w:sz w:val="22"/>
          <w:szCs w:val="22"/>
          <w:lang w:val="en-US" w:eastAsia="de-DE"/>
        </w:rPr>
        <w:t>thermal Energy sold</w:t>
      </w:r>
      <w:r>
        <w:rPr>
          <w:sz w:val="22"/>
          <w:szCs w:val="22"/>
          <w:lang w:val="en-US" w:eastAsia="de-DE"/>
        </w:rPr>
        <w:t xml:space="preserve"> and discount rate</w:t>
      </w:r>
      <w:r w:rsidR="00147963">
        <w:rPr>
          <w:sz w:val="22"/>
          <w:szCs w:val="22"/>
          <w:lang w:val="en-US" w:eastAsia="de-DE"/>
        </w:rPr>
        <w:t>.</w:t>
      </w:r>
    </w:p>
    <w:tbl>
      <w:tblPr>
        <w:tblStyle w:val="Tabellasemplice-2"/>
        <w:tblW w:w="13575" w:type="dxa"/>
        <w:tblLayout w:type="fixed"/>
        <w:tblLook w:val="04A0" w:firstRow="1" w:lastRow="0" w:firstColumn="1" w:lastColumn="0" w:noHBand="0" w:noVBand="1"/>
      </w:tblPr>
      <w:tblGrid>
        <w:gridCol w:w="1101"/>
        <w:gridCol w:w="89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372"/>
      </w:tblGrid>
      <w:tr w:rsidR="003F00A3" w:rsidRPr="00F753BE" w:rsidTr="00321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hideMark/>
          </w:tcPr>
          <w:p w:rsidR="00AA6A61" w:rsidRPr="00321715" w:rsidRDefault="00AA6A61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Discount rate</w:t>
            </w:r>
          </w:p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(%)</w:t>
            </w:r>
          </w:p>
        </w:tc>
        <w:tc>
          <w:tcPr>
            <w:tcW w:w="12474" w:type="dxa"/>
            <w:gridSpan w:val="11"/>
            <w:noWrap/>
            <w:hideMark/>
          </w:tcPr>
          <w:p w:rsidR="003F00A3" w:rsidRPr="00321715" w:rsidRDefault="00AA6A61" w:rsidP="003F0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AU"/>
              </w:rPr>
            </w:pPr>
            <w:r w:rsidRPr="00321715">
              <w:rPr>
                <w:color w:val="000000"/>
                <w:sz w:val="22"/>
                <w:szCs w:val="22"/>
                <w:lang w:val="en-AU"/>
              </w:rPr>
              <w:t>Thermal Energy sold (</w:t>
            </w:r>
            <w:proofErr w:type="spellStart"/>
            <w:r w:rsidRPr="00321715">
              <w:rPr>
                <w:color w:val="000000"/>
                <w:sz w:val="22"/>
                <w:szCs w:val="22"/>
                <w:lang w:val="en-AU"/>
              </w:rPr>
              <w:t>KWh</w:t>
            </w:r>
            <w:proofErr w:type="spellEnd"/>
            <w:r w:rsidRPr="00321715">
              <w:rPr>
                <w:color w:val="000000"/>
                <w:sz w:val="22"/>
                <w:szCs w:val="22"/>
                <w:lang w:val="en-AU"/>
              </w:rPr>
              <w:t>/</w:t>
            </w:r>
            <w:proofErr w:type="spellStart"/>
            <w:r w:rsidRPr="00321715">
              <w:rPr>
                <w:color w:val="000000"/>
                <w:sz w:val="22"/>
                <w:szCs w:val="22"/>
                <w:lang w:val="en-AU"/>
              </w:rPr>
              <w:t>yr</w:t>
            </w:r>
            <w:proofErr w:type="spellEnd"/>
            <w:r w:rsidRPr="00321715">
              <w:rPr>
                <w:color w:val="000000"/>
                <w:sz w:val="22"/>
                <w:szCs w:val="22"/>
                <w:lang w:val="en-AU"/>
              </w:rPr>
              <w:t>) - &amp; - Total thermal energy sold respect produced (%)</w:t>
            </w:r>
          </w:p>
        </w:tc>
      </w:tr>
      <w:tr w:rsidR="003F00A3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  <w:lang w:val="en-AU"/>
              </w:rPr>
            </w:pPr>
          </w:p>
        </w:tc>
        <w:tc>
          <w:tcPr>
            <w:tcW w:w="896" w:type="dxa"/>
            <w:noWrap/>
            <w:hideMark/>
          </w:tcPr>
          <w:p w:rsidR="003F00A3" w:rsidRPr="00321715" w:rsidRDefault="00AA6A61" w:rsidP="00AA6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Pr="00321715">
              <w:rPr>
                <w:color w:val="000000"/>
                <w:sz w:val="22"/>
                <w:szCs w:val="22"/>
              </w:rPr>
              <w:t>-</w:t>
            </w:r>
            <w:r w:rsidR="003F00A3" w:rsidRPr="00321715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1,100,000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2,200,000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3,300,000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4,400,000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5,500,000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6,600,000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7,700,000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8,800,000   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9,900,000   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 xml:space="preserve">11,000,000   </w:t>
            </w:r>
          </w:p>
        </w:tc>
      </w:tr>
      <w:tr w:rsidR="003F00A3" w:rsidRPr="00321715" w:rsidTr="003217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30%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35%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45%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21715">
              <w:rPr>
                <w:b/>
                <w:color w:val="000000"/>
                <w:sz w:val="22"/>
                <w:szCs w:val="22"/>
              </w:rPr>
              <w:t>50%</w:t>
            </w:r>
          </w:p>
        </w:tc>
      </w:tr>
      <w:tr w:rsidR="003F00A3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1.0%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193%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28%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18%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13%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12%</w:t>
            </w:r>
          </w:p>
        </w:tc>
      </w:tr>
      <w:tr w:rsidR="003F00A3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1.5%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294%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75%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19%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12%</w:t>
            </w:r>
          </w:p>
        </w:tc>
      </w:tr>
      <w:tr w:rsidR="003F00A3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2.0%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624%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86%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31%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24%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19%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12%</w:t>
            </w:r>
          </w:p>
        </w:tc>
      </w:tr>
      <w:tr w:rsidR="003F00A3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2.5%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103%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17%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12%</w:t>
            </w:r>
          </w:p>
        </w:tc>
      </w:tr>
      <w:tr w:rsidR="003F00A3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3.0%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127%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21%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17%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13%</w:t>
            </w:r>
          </w:p>
        </w:tc>
      </w:tr>
      <w:tr w:rsidR="003F00A3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3.5%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173%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61%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39%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28%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18%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13%</w:t>
            </w:r>
          </w:p>
        </w:tc>
      </w:tr>
      <w:tr w:rsidR="003F00A3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4.0%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256%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71%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19%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13%</w:t>
            </w:r>
          </w:p>
        </w:tc>
      </w:tr>
      <w:tr w:rsidR="003F00A3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4.5%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520%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85%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24%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16%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14%</w:t>
            </w:r>
          </w:p>
        </w:tc>
      </w:tr>
      <w:tr w:rsidR="003F00A3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5.0%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102%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34%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25%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17%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14%</w:t>
            </w:r>
          </w:p>
        </w:tc>
      </w:tr>
      <w:tr w:rsidR="003F00A3" w:rsidRPr="00321715" w:rsidTr="003217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5.5%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126%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59%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37%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27%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21%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17%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15%</w:t>
            </w:r>
          </w:p>
        </w:tc>
      </w:tr>
      <w:tr w:rsidR="003F00A3" w:rsidRPr="00321715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6.0%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182%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64%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39%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28%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18%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15%</w:t>
            </w:r>
          </w:p>
        </w:tc>
      </w:tr>
      <w:tr w:rsidR="003F00A3" w:rsidRPr="00321715" w:rsidTr="0032171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6.5%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303%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76%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23%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19%</w:t>
            </w:r>
          </w:p>
        </w:tc>
        <w:tc>
          <w:tcPr>
            <w:tcW w:w="1372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16%</w:t>
            </w:r>
          </w:p>
        </w:tc>
      </w:tr>
      <w:tr w:rsidR="003F00A3" w:rsidRPr="003F00A3" w:rsidTr="0032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:rsidR="003F00A3" w:rsidRPr="00321715" w:rsidRDefault="003F00A3" w:rsidP="00AA6A61">
            <w:pPr>
              <w:jc w:val="center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7.0%</w:t>
            </w:r>
          </w:p>
        </w:tc>
        <w:tc>
          <w:tcPr>
            <w:tcW w:w="896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936%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90%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47%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32%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24%</w:t>
            </w:r>
          </w:p>
        </w:tc>
        <w:tc>
          <w:tcPr>
            <w:tcW w:w="1134" w:type="dxa"/>
            <w:noWrap/>
            <w:hideMark/>
          </w:tcPr>
          <w:p w:rsidR="003F00A3" w:rsidRPr="00321715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72" w:type="dxa"/>
            <w:noWrap/>
            <w:hideMark/>
          </w:tcPr>
          <w:p w:rsidR="003F00A3" w:rsidRPr="003F00A3" w:rsidRDefault="003F00A3" w:rsidP="003F00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321715">
              <w:rPr>
                <w:color w:val="000000"/>
                <w:sz w:val="22"/>
                <w:szCs w:val="22"/>
              </w:rPr>
              <w:t>16%</w:t>
            </w:r>
          </w:p>
        </w:tc>
      </w:tr>
    </w:tbl>
    <w:p w:rsidR="003F00A3" w:rsidRPr="00AF260A" w:rsidRDefault="003F00A3">
      <w:pPr>
        <w:rPr>
          <w:lang w:val="en-AU"/>
        </w:rPr>
      </w:pPr>
    </w:p>
    <w:sectPr w:rsidR="003F00A3" w:rsidRPr="00AF260A" w:rsidSect="003F00A3">
      <w:pgSz w:w="16840" w:h="11907" w:orient="landscape"/>
      <w:pgMar w:top="1418" w:right="1418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FD7" w:rsidRDefault="00A24FD7">
      <w:r>
        <w:separator/>
      </w:r>
    </w:p>
  </w:endnote>
  <w:endnote w:type="continuationSeparator" w:id="0">
    <w:p w:rsidR="00A24FD7" w:rsidRDefault="00A2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C4E" w:rsidRDefault="00E11C4E" w:rsidP="003F00A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E11C4E" w:rsidRDefault="00E11C4E" w:rsidP="003F00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C4E" w:rsidRDefault="00E11C4E" w:rsidP="003F00A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202D2"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E11C4E" w:rsidRDefault="00E11C4E" w:rsidP="003F00A3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FD7" w:rsidRDefault="00A24FD7">
      <w:r>
        <w:separator/>
      </w:r>
    </w:p>
  </w:footnote>
  <w:footnote w:type="continuationSeparator" w:id="0">
    <w:p w:rsidR="00A24FD7" w:rsidRDefault="00A2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B0"/>
    <w:rsid w:val="00027A39"/>
    <w:rsid w:val="00031922"/>
    <w:rsid w:val="000D6AC9"/>
    <w:rsid w:val="00147963"/>
    <w:rsid w:val="001C2A61"/>
    <w:rsid w:val="002C366F"/>
    <w:rsid w:val="00321715"/>
    <w:rsid w:val="003707C3"/>
    <w:rsid w:val="003714BC"/>
    <w:rsid w:val="003E20B0"/>
    <w:rsid w:val="003F00A3"/>
    <w:rsid w:val="005578DB"/>
    <w:rsid w:val="00666F85"/>
    <w:rsid w:val="007D2EEC"/>
    <w:rsid w:val="008202D2"/>
    <w:rsid w:val="008963A5"/>
    <w:rsid w:val="00A17C06"/>
    <w:rsid w:val="00A24FD7"/>
    <w:rsid w:val="00AA6A61"/>
    <w:rsid w:val="00AC1550"/>
    <w:rsid w:val="00AF260A"/>
    <w:rsid w:val="00C774C0"/>
    <w:rsid w:val="00E11C4E"/>
    <w:rsid w:val="00E52FBB"/>
    <w:rsid w:val="00EC76E7"/>
    <w:rsid w:val="00ED2705"/>
    <w:rsid w:val="00F7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B8F15-C49D-4E0E-986F-6DD204AF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E2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  <w:lang w:val="en-US" w:eastAsia="de-DE"/>
    </w:rPr>
  </w:style>
  <w:style w:type="character" w:customStyle="1" w:styleId="PidipaginaCarattere">
    <w:name w:val="Piè di pagina Carattere"/>
    <w:basedOn w:val="Carpredefinitoparagrafo"/>
    <w:link w:val="Pidipagina"/>
    <w:rsid w:val="003E20B0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character" w:styleId="Numeropagina">
    <w:name w:val="page number"/>
    <w:basedOn w:val="Carpredefinitoparagrafo"/>
    <w:rsid w:val="003E20B0"/>
  </w:style>
  <w:style w:type="paragraph" w:styleId="NormaleWeb">
    <w:name w:val="Normal (Web)"/>
    <w:basedOn w:val="Normale"/>
    <w:uiPriority w:val="99"/>
    <w:unhideWhenUsed/>
    <w:rsid w:val="003E20B0"/>
    <w:pPr>
      <w:spacing w:before="100" w:beforeAutospacing="1" w:after="100" w:afterAutospacing="1"/>
    </w:pPr>
  </w:style>
  <w:style w:type="character" w:customStyle="1" w:styleId="notranslate">
    <w:name w:val="notranslate"/>
    <w:rsid w:val="003E20B0"/>
  </w:style>
  <w:style w:type="table" w:customStyle="1" w:styleId="Tabellasemplice-21">
    <w:name w:val="Tabella semplice - 21"/>
    <w:basedOn w:val="Tabellanormale"/>
    <w:uiPriority w:val="42"/>
    <w:rsid w:val="003E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2">
    <w:name w:val="Plain Table 2"/>
    <w:basedOn w:val="Tabellanormale"/>
    <w:uiPriority w:val="42"/>
    <w:rsid w:val="003217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Paletto</dc:creator>
  <cp:lastModifiedBy>dalila.sansone</cp:lastModifiedBy>
  <cp:revision>6</cp:revision>
  <dcterms:created xsi:type="dcterms:W3CDTF">2020-07-06T07:42:00Z</dcterms:created>
  <dcterms:modified xsi:type="dcterms:W3CDTF">2020-10-22T15:46:00Z</dcterms:modified>
</cp:coreProperties>
</file>