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13" w:rsidRPr="005C7A76" w:rsidRDefault="00525C89" w:rsidP="0040161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5C7A76">
        <w:rPr>
          <w:rFonts w:ascii="Times New Roman" w:hAnsi="Times New Roman" w:cs="Times New Roman"/>
          <w:b/>
          <w:sz w:val="24"/>
          <w:szCs w:val="24"/>
          <w:lang w:val="en-GB"/>
        </w:rPr>
        <w:t>Tables</w:t>
      </w:r>
    </w:p>
    <w:p w:rsidR="00525C89" w:rsidRPr="0026358D" w:rsidRDefault="00525C89" w:rsidP="00401613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 w:rsidR="00E801DA" w:rsidRPr="00CB0F1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CB0F1E">
        <w:rPr>
          <w:rFonts w:ascii="Times New Roman" w:hAnsi="Times New Roman" w:cs="Times New Roman"/>
          <w:b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01613" w:rsidRPr="00CB0F1E">
        <w:rPr>
          <w:rFonts w:ascii="Times New Roman" w:hAnsi="Times New Roman" w:cs="Times New Roman"/>
          <w:b/>
          <w:noProof/>
          <w:sz w:val="20"/>
          <w:szCs w:val="20"/>
          <w:lang w:val="en-GB"/>
        </w:rPr>
        <w:t>1</w:t>
      </w:r>
      <w:r w:rsidR="00E801DA" w:rsidRPr="00CB0F1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CB0F1E" w:rsidRPr="00CB0F1E">
        <w:rPr>
          <w:rFonts w:ascii="Times New Roman" w:hAnsi="Times New Roman" w:cs="Times New Roman"/>
          <w:b/>
          <w:sz w:val="20"/>
          <w:szCs w:val="20"/>
          <w:lang w:val="en-GB"/>
        </w:rPr>
        <w:t xml:space="preserve"> -</w:t>
      </w:r>
      <w:r w:rsidR="00CB0F1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Transect types and treatments applied </w:t>
      </w:r>
      <w:r w:rsidR="00052E9B" w:rsidRPr="0026358D">
        <w:rPr>
          <w:rFonts w:ascii="Times New Roman" w:hAnsi="Times New Roman" w:cs="Times New Roman"/>
          <w:sz w:val="20"/>
          <w:szCs w:val="20"/>
          <w:lang w:val="en-GB"/>
        </w:rPr>
        <w:t>by</w:t>
      </w: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 site.</w:t>
      </w:r>
    </w:p>
    <w:tbl>
      <w:tblPr>
        <w:tblStyle w:val="PlainTable2"/>
        <w:tblW w:w="0" w:type="auto"/>
        <w:jc w:val="center"/>
        <w:tblLook w:val="04A0"/>
      </w:tblPr>
      <w:tblGrid>
        <w:gridCol w:w="894"/>
        <w:gridCol w:w="1388"/>
        <w:gridCol w:w="1927"/>
        <w:gridCol w:w="3433"/>
      </w:tblGrid>
      <w:tr w:rsidR="006A5B2A" w:rsidRPr="0043695D" w:rsidTr="006A5B2A">
        <w:trPr>
          <w:cnfStyle w:val="100000000000"/>
          <w:trHeight w:val="300"/>
          <w:jc w:val="center"/>
        </w:trPr>
        <w:tc>
          <w:tcPr>
            <w:cnfStyle w:val="001000000000"/>
            <w:tcW w:w="0" w:type="auto"/>
            <w:tcBorders>
              <w:bottom w:val="single" w:sz="4" w:space="0" w:color="auto"/>
            </w:tcBorders>
            <w:noWrap/>
            <w:hideMark/>
          </w:tcPr>
          <w:p w:rsidR="006A5B2A" w:rsidRPr="0026358D" w:rsidRDefault="006A5B2A" w:rsidP="00052E9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</w:pPr>
            <w:r w:rsidRPr="0026358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s-ES"/>
              </w:rPr>
              <w:t>Site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6A5B2A" w:rsidRPr="0026358D" w:rsidRDefault="006A5B2A" w:rsidP="00052E9B">
            <w:p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 type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A5B2A" w:rsidRPr="0026358D" w:rsidRDefault="006A5B2A" w:rsidP="00052E9B">
            <w:p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number of transects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:rsidR="006A5B2A" w:rsidRPr="0026358D" w:rsidRDefault="006A5B2A" w:rsidP="00052E9B">
            <w:p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Lugo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2, 3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A5B2A" w:rsidRPr="0043695D" w:rsidRDefault="003E24E5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8F6903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Lentinula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edodes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Chemical treatment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6A5B2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</w:t>
            </w:r>
            <w:r w:rsidR="00486865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ontrol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Girona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A5B2A" w:rsidRPr="0043695D" w:rsidRDefault="003E24E5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8F6903" w:rsidP="007D4F4F">
            <w:pPr>
              <w:tabs>
                <w:tab w:val="left" w:pos="1155"/>
                <w:tab w:val="center" w:pos="1300"/>
              </w:tabs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43695D" w:rsidRDefault="00FB1041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</w:t>
            </w:r>
            <w:r w:rsidR="00486865"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hemical 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6A5B2A" w:rsidRPr="0043695D" w:rsidRDefault="003E24E5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6A5B2A" w:rsidRPr="0043695D" w:rsidRDefault="008F6903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Cáceres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A5B2A" w:rsidRPr="0043695D" w:rsidRDefault="003E24E5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8F6903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:rsidR="006A5B2A" w:rsidRPr="0043695D" w:rsidRDefault="00486865" w:rsidP="007D4F4F">
            <w:pPr>
              <w:tabs>
                <w:tab w:val="left" w:pos="2220"/>
                <w:tab w:val="center" w:pos="2302"/>
              </w:tabs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CB0F1E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A5B2A" w:rsidRPr="0043695D" w:rsidRDefault="003E24E5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:rsidR="006A5B2A" w:rsidRPr="0043695D" w:rsidRDefault="008F6903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26358D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Lentinula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edodes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</w:tr>
      <w:tr w:rsidR="006A5B2A" w:rsidRPr="0043695D" w:rsidTr="006A5B2A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</w:tcBorders>
            <w:noWrap/>
            <w:hideMark/>
          </w:tcPr>
          <w:p w:rsidR="006A5B2A" w:rsidRPr="0026358D" w:rsidRDefault="006A5B2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6A5B2A" w:rsidRPr="0043695D" w:rsidRDefault="006A5B2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6A5B2A" w:rsidRPr="0043695D" w:rsidRDefault="00486865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  <w:r w:rsidRPr="0043695D" w:rsidDel="00486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:rsidR="00525C89" w:rsidRPr="0026358D" w:rsidRDefault="00525C89" w:rsidP="00052E9B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26358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b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b/>
          <w:sz w:val="20"/>
          <w:szCs w:val="20"/>
          <w:lang w:val="en-GB"/>
        </w:rPr>
        <w:fldChar w:fldCharType="begin"/>
      </w:r>
      <w:r w:rsidRPr="00CB0F1E">
        <w:rPr>
          <w:rFonts w:ascii="Times New Roman" w:hAnsi="Times New Roman" w:cs="Times New Roman"/>
          <w:b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b/>
          <w:sz w:val="20"/>
          <w:szCs w:val="20"/>
          <w:lang w:val="en-GB"/>
        </w:rPr>
        <w:fldChar w:fldCharType="separate"/>
      </w:r>
      <w:r w:rsidR="00401613" w:rsidRPr="00CB0F1E">
        <w:rPr>
          <w:rFonts w:ascii="Times New Roman" w:hAnsi="Times New Roman" w:cs="Times New Roman"/>
          <w:b/>
          <w:noProof/>
          <w:sz w:val="20"/>
          <w:szCs w:val="20"/>
          <w:lang w:val="en-GB"/>
        </w:rPr>
        <w:t>2</w:t>
      </w:r>
      <w:r w:rsidR="00E801DA" w:rsidRPr="00CB0F1E">
        <w:rPr>
          <w:rFonts w:ascii="Times New Roman" w:hAnsi="Times New Roman" w:cs="Times New Roman"/>
          <w:b/>
          <w:sz w:val="20"/>
          <w:szCs w:val="20"/>
          <w:lang w:val="en-GB"/>
        </w:rPr>
        <w:fldChar w:fldCharType="end"/>
      </w:r>
      <w:r w:rsidR="00CB0F1E" w:rsidRPr="00CB0F1E">
        <w:rPr>
          <w:rFonts w:ascii="Times New Roman" w:hAnsi="Times New Roman" w:cs="Times New Roman"/>
          <w:b/>
          <w:sz w:val="20"/>
          <w:szCs w:val="20"/>
          <w:lang w:val="en-GB"/>
        </w:rPr>
        <w:t xml:space="preserve"> -</w:t>
      </w: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B1041" w:rsidRPr="0026358D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ogistic</w:t>
      </w:r>
      <w:r w:rsidR="00FB1041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regression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models used in the analysis.</w:t>
      </w:r>
    </w:p>
    <w:tbl>
      <w:tblPr>
        <w:tblStyle w:val="PlainTable2"/>
        <w:tblW w:w="0" w:type="auto"/>
        <w:jc w:val="center"/>
        <w:tblLook w:val="04A0"/>
      </w:tblPr>
      <w:tblGrid>
        <w:gridCol w:w="761"/>
        <w:gridCol w:w="5994"/>
      </w:tblGrid>
      <w:tr w:rsidR="00266C7A" w:rsidRPr="0043695D" w:rsidTr="00052E9B">
        <w:trPr>
          <w:cnfStyle w:val="100000000000"/>
          <w:jc w:val="center"/>
        </w:trPr>
        <w:tc>
          <w:tcPr>
            <w:cnfStyle w:val="001000000000"/>
            <w:tcW w:w="0" w:type="auto"/>
          </w:tcPr>
          <w:p w:rsidR="00266C7A" w:rsidRPr="0043695D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Model</w:t>
            </w:r>
          </w:p>
        </w:tc>
        <w:tc>
          <w:tcPr>
            <w:tcW w:w="0" w:type="auto"/>
          </w:tcPr>
          <w:p w:rsidR="00266C7A" w:rsidRPr="0043695D" w:rsidRDefault="00266C7A" w:rsidP="00052E9B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Equation</w:t>
            </w:r>
          </w:p>
        </w:tc>
      </w:tr>
      <w:tr w:rsidR="00266C7A" w:rsidRPr="0043695D" w:rsidTr="00052E9B">
        <w:trPr>
          <w:cnfStyle w:val="000000100000"/>
          <w:jc w:val="center"/>
        </w:trPr>
        <w:tc>
          <w:tcPr>
            <w:cnfStyle w:val="001000000000"/>
            <w:tcW w:w="0" w:type="auto"/>
            <w:tcBorders>
              <w:bottom w:val="nil"/>
            </w:tcBorders>
            <w:vAlign w:val="center"/>
          </w:tcPr>
          <w:p w:rsidR="00266C7A" w:rsidRPr="0026358D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66C7A" w:rsidRPr="0026358D" w:rsidRDefault="00266C7A" w:rsidP="004C01A8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log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ω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=log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1-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CU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LU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GE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4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TO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B1</m:t>
                    </m:r>
                  </m:sub>
                </m:sSub>
              </m:oMath>
            </m:oMathPara>
          </w:p>
        </w:tc>
      </w:tr>
      <w:tr w:rsidR="00266C7A" w:rsidRPr="0043695D" w:rsidTr="00052E9B">
        <w:trPr>
          <w:jc w:val="center"/>
        </w:trPr>
        <w:tc>
          <w:tcPr>
            <w:cnfStyle w:val="001000000000"/>
            <w:tcW w:w="0" w:type="auto"/>
            <w:tcBorders>
              <w:top w:val="nil"/>
              <w:bottom w:val="nil"/>
            </w:tcBorders>
            <w:vAlign w:val="center"/>
          </w:tcPr>
          <w:p w:rsidR="00266C7A" w:rsidRPr="0026358D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266C7A" w:rsidRPr="0026358D" w:rsidRDefault="00266C7A" w:rsidP="00241D46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log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ω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 xml:space="preserve">=log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1-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GE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B1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Chemical</m:t>
                    </m:r>
                  </m:sub>
                </m:sSub>
              </m:oMath>
            </m:oMathPara>
          </w:p>
        </w:tc>
      </w:tr>
      <w:tr w:rsidR="00266C7A" w:rsidRPr="0043695D" w:rsidTr="00052E9B">
        <w:trPr>
          <w:cnfStyle w:val="000000100000"/>
          <w:jc w:val="center"/>
        </w:trPr>
        <w:tc>
          <w:tcPr>
            <w:cnfStyle w:val="001000000000"/>
            <w:tcW w:w="0" w:type="auto"/>
            <w:tcBorders>
              <w:top w:val="nil"/>
            </w:tcBorders>
            <w:vAlign w:val="center"/>
          </w:tcPr>
          <w:p w:rsidR="00266C7A" w:rsidRPr="0026358D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266C7A" w:rsidRPr="0026358D" w:rsidRDefault="00266C7A" w:rsidP="00241D46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log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ω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=log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1-</m:t>
                        </m:r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s-ES"/>
                          </w:rPr>
                          <m:t>p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TO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s-E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I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s-ES"/>
                      </w:rPr>
                      <m:t>B2</m:t>
                    </m:r>
                  </m:sub>
                </m:sSub>
              </m:oMath>
            </m:oMathPara>
          </w:p>
        </w:tc>
      </w:tr>
    </w:tbl>
    <w:p w:rsidR="00266C7A" w:rsidRPr="0043695D" w:rsidRDefault="00266C7A" w:rsidP="00266C7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GB"/>
        </w:rPr>
      </w:pPr>
      <w:r w:rsidRPr="0026358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Note: </w:t>
      </w:r>
      <m:oMath>
        <m: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ES"/>
          </w:rPr>
          <m:t>ω</m:t>
        </m:r>
      </m:oMath>
      <w:r w:rsidRPr="0026358D" w:rsidDel="009B7C6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is the odd of sprouting,  </w:t>
      </w:r>
      <m:oMath>
        <m:r>
          <w:rPr>
            <w:rFonts w:ascii="Cambria Math" w:eastAsia="Times New Roman" w:hAnsi="Cambria Math" w:cs="Times New Roman"/>
            <w:color w:val="000000"/>
            <w:sz w:val="20"/>
            <w:szCs w:val="20"/>
            <w:lang w:eastAsia="es-ES"/>
          </w:rPr>
          <m:t>ω</m:t>
        </m:r>
        <m:r>
          <w:rPr>
            <w:rFonts w:ascii="Cambria Math" w:hAnsi="Cambria Math" w:cs="Times New Roman"/>
            <w:sz w:val="20"/>
            <w:szCs w:val="20"/>
            <w:lang w:val="en-GB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  <w:lang w:val="en-GB"/>
              </w:rPr>
              <m:t>(1-</m:t>
            </m:r>
            <m:r>
              <w:rPr>
                <w:rFonts w:ascii="Cambria Math" w:hAnsi="Cambria Math" w:cs="Times New Roman"/>
                <w:sz w:val="20"/>
                <w:szCs w:val="20"/>
              </w:rPr>
              <m:t>p</m:t>
            </m:r>
            <m:r>
              <w:rPr>
                <w:rFonts w:ascii="Cambria Math" w:hAnsi="Cambria Math" w:cs="Times New Roman"/>
                <w:sz w:val="20"/>
                <w:szCs w:val="20"/>
                <w:lang w:val="en-GB"/>
              </w:rPr>
              <m:t>)</m:t>
            </m:r>
          </m:den>
        </m:f>
      </m:oMath>
      <w:r w:rsidRPr="0026358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and p is the probability of sprouting. Dummy variables represent treatments and </w:t>
      </w:r>
      <w:r w:rsidR="00052E9B"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sites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, where: 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CU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is 1 if the stump belongs to Cuenca. 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LU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is 1 if the stump belongs to Lugo. 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GE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is 1 if the stump belongs to G</w:t>
      </w:r>
      <w:r w:rsidR="00052E9B"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rona. 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TO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is 1 if the stump belongs to Toledo. I</w:t>
      </w:r>
      <w:r w:rsidR="004C01A8"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>B1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is 1 if the stump was treated with </w:t>
      </w:r>
      <w:proofErr w:type="spellStart"/>
      <w:r w:rsidR="004C01A8" w:rsidRPr="0043695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="004C01A8"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4C01A8" w:rsidRPr="0043695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. </w:t>
      </w:r>
      <w:proofErr w:type="spellStart"/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>Chemical</w:t>
      </w:r>
      <w:proofErr w:type="spellEnd"/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is 1 if the stump was treated with chemical. I</w:t>
      </w:r>
      <w:r w:rsidRPr="0043695D">
        <w:rPr>
          <w:rFonts w:ascii="Times New Roman" w:eastAsiaTheme="minorEastAsia" w:hAnsi="Times New Roman" w:cs="Times New Roman"/>
          <w:sz w:val="20"/>
          <w:szCs w:val="20"/>
          <w:vertAlign w:val="subscript"/>
          <w:lang w:val="en-GB"/>
        </w:rPr>
        <w:t xml:space="preserve">B2 </w:t>
      </w:r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is 1 if the stump was treated with </w:t>
      </w:r>
      <w:proofErr w:type="spellStart"/>
      <w:r w:rsidRPr="0043695D">
        <w:rPr>
          <w:rFonts w:ascii="Times New Roman" w:eastAsiaTheme="minorEastAsia" w:hAnsi="Times New Roman" w:cs="Times New Roman"/>
          <w:i/>
          <w:sz w:val="20"/>
          <w:szCs w:val="20"/>
          <w:lang w:val="en-GB"/>
        </w:rPr>
        <w:t>Lentinula</w:t>
      </w:r>
      <w:proofErr w:type="spellEnd"/>
      <w:r w:rsidRPr="0043695D">
        <w:rPr>
          <w:rFonts w:ascii="Times New Roman" w:eastAsiaTheme="minorEastAsia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43695D">
        <w:rPr>
          <w:rFonts w:ascii="Times New Roman" w:eastAsiaTheme="minorEastAsia" w:hAnsi="Times New Roman" w:cs="Times New Roman"/>
          <w:i/>
          <w:sz w:val="20"/>
          <w:szCs w:val="20"/>
          <w:lang w:val="en-GB"/>
        </w:rPr>
        <w:t>edodes</w:t>
      </w:r>
      <w:proofErr w:type="spellEnd"/>
      <w:r w:rsidRPr="0043695D">
        <w:rPr>
          <w:rFonts w:ascii="Times New Roman" w:eastAsiaTheme="minorEastAsia" w:hAnsi="Times New Roman" w:cs="Times New Roman"/>
          <w:sz w:val="20"/>
          <w:szCs w:val="20"/>
          <w:lang w:val="en-GB"/>
        </w:rPr>
        <w:t>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052E9B" w:rsidRPr="0043695D" w:rsidRDefault="00052E9B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b/>
          <w:bCs/>
          <w:sz w:val="20"/>
          <w:szCs w:val="20"/>
          <w:lang w:val="en-GB"/>
        </w:rPr>
        <w:br w:type="page"/>
      </w:r>
    </w:p>
    <w:tbl>
      <w:tblPr>
        <w:tblStyle w:val="Grigliatabella"/>
        <w:tblW w:w="0" w:type="auto"/>
        <w:tblInd w:w="5" w:type="dxa"/>
        <w:tblLook w:val="04A0"/>
      </w:tblPr>
      <w:tblGrid>
        <w:gridCol w:w="8499"/>
      </w:tblGrid>
      <w:tr w:rsidR="00266C7A" w:rsidRPr="0043695D" w:rsidTr="00052E9B">
        <w:tc>
          <w:tcPr>
            <w:tcW w:w="8499" w:type="dxa"/>
            <w:tcBorders>
              <w:top w:val="nil"/>
              <w:left w:val="nil"/>
              <w:right w:val="nil"/>
            </w:tcBorders>
          </w:tcPr>
          <w:p w:rsidR="00266C7A" w:rsidRPr="0043695D" w:rsidRDefault="00266C7A" w:rsidP="00052E9B">
            <w:pPr>
              <w:pStyle w:val="Didascalia"/>
              <w:keepNext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GB"/>
              </w:rPr>
            </w:pPr>
            <w:r w:rsidRPr="00CB0F1E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lastRenderedPageBreak/>
              <w:t xml:space="preserve">Table </w:t>
            </w:r>
            <w:r w:rsidR="00E801DA" w:rsidRPr="00CB0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CB0F1E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instrText xml:space="preserve"> SEQ Table \* ARABIC </w:instrText>
            </w:r>
            <w:r w:rsidR="00E801DA" w:rsidRPr="00CB0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="00401613" w:rsidRPr="00CB0F1E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en-GB"/>
              </w:rPr>
              <w:t>3</w:t>
            </w:r>
            <w:r w:rsidR="00E801DA" w:rsidRPr="00CB0F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CB0F1E" w:rsidRPr="00CB0F1E"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  <w:t xml:space="preserve"> -</w:t>
            </w:r>
            <w:r w:rsidR="00CB0F1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GB"/>
              </w:rPr>
              <w:t xml:space="preserve"> </w:t>
            </w:r>
            <w:r w:rsidRPr="004369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GB"/>
              </w:rPr>
              <w:t xml:space="preserve"> Number of sampled stumps with sprouts </w:t>
            </w:r>
            <w:r w:rsidR="00052E9B" w:rsidRPr="004369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GB"/>
              </w:rPr>
              <w:t>by</w:t>
            </w:r>
            <w:r w:rsidRPr="004369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GB"/>
              </w:rPr>
              <w:t xml:space="preserve"> treatment and site. </w:t>
            </w:r>
          </w:p>
          <w:tbl>
            <w:tblPr>
              <w:tblStyle w:val="PlainTable2"/>
              <w:tblW w:w="6198" w:type="dxa"/>
              <w:jc w:val="center"/>
              <w:tblLook w:val="04A0"/>
            </w:tblPr>
            <w:tblGrid>
              <w:gridCol w:w="1243"/>
              <w:gridCol w:w="1243"/>
              <w:gridCol w:w="1234"/>
              <w:gridCol w:w="1235"/>
              <w:gridCol w:w="1243"/>
            </w:tblGrid>
            <w:tr w:rsidR="00052E9B" w:rsidRPr="0043695D" w:rsidTr="00052E9B">
              <w:trPr>
                <w:cnfStyle w:val="1000000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Site</w:t>
                  </w:r>
                </w:p>
              </w:tc>
              <w:tc>
                <w:tcPr>
                  <w:tcW w:w="1243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1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Tr</w:t>
                  </w:r>
                  <w:r w:rsidR="00486865"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e</w:t>
                  </w: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atment</w:t>
                  </w:r>
                </w:p>
              </w:tc>
              <w:tc>
                <w:tcPr>
                  <w:tcW w:w="2469" w:type="dxa"/>
                  <w:gridSpan w:val="2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1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Re-sprouts</w:t>
                  </w:r>
                </w:p>
              </w:tc>
              <w:tc>
                <w:tcPr>
                  <w:tcW w:w="1243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1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Total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noWrap/>
                  <w:hideMark/>
                </w:tcPr>
                <w:p w:rsidR="00052E9B" w:rsidRPr="0026358D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</w:p>
              </w:tc>
              <w:tc>
                <w:tcPr>
                  <w:tcW w:w="1235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1243" w:type="dxa"/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CB0F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Cáceres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24</w:t>
                  </w:r>
                </w:p>
              </w:tc>
              <w:tc>
                <w:tcPr>
                  <w:tcW w:w="1235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96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120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B1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11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37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48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</w:t>
                  </w:r>
                </w:p>
              </w:tc>
              <w:tc>
                <w:tcPr>
                  <w:tcW w:w="1234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13</w:t>
                  </w:r>
                </w:p>
              </w:tc>
              <w:tc>
                <w:tcPr>
                  <w:tcW w:w="1235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59</w:t>
                  </w: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72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CB0F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Cuenca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117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120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B1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45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48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</w:t>
                  </w:r>
                </w:p>
              </w:tc>
              <w:tc>
                <w:tcPr>
                  <w:tcW w:w="1234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72</w:t>
                  </w: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72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CB0F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Lugo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150</w:t>
                  </w:r>
                </w:p>
              </w:tc>
              <w:tc>
                <w:tcPr>
                  <w:tcW w:w="1235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270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420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B1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95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73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168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B2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52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68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120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82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85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Q</w:t>
                  </w:r>
                </w:p>
              </w:tc>
              <w:tc>
                <w:tcPr>
                  <w:tcW w:w="1234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47</w:t>
                  </w: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47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CB0F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Girona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23</w:t>
                  </w:r>
                </w:p>
              </w:tc>
              <w:tc>
                <w:tcPr>
                  <w:tcW w:w="1235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107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130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B1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8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43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51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23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24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Q</w:t>
                  </w:r>
                </w:p>
              </w:tc>
              <w:tc>
                <w:tcPr>
                  <w:tcW w:w="1234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14</w:t>
                  </w:r>
                </w:p>
              </w:tc>
              <w:tc>
                <w:tcPr>
                  <w:tcW w:w="1235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41</w:t>
                  </w:r>
                </w:p>
              </w:tc>
              <w:tc>
                <w:tcPr>
                  <w:tcW w:w="1243" w:type="dxa"/>
                  <w:tcBorders>
                    <w:top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55</w:t>
                  </w:r>
                </w:p>
              </w:tc>
            </w:tr>
            <w:tr w:rsidR="00052E9B" w:rsidRPr="0043695D" w:rsidTr="00052E9B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CB0F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Toledo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34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15</w:t>
                  </w:r>
                </w:p>
              </w:tc>
              <w:tc>
                <w:tcPr>
                  <w:tcW w:w="1235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105</w:t>
                  </w:r>
                </w:p>
              </w:tc>
              <w:tc>
                <w:tcPr>
                  <w:tcW w:w="1243" w:type="dxa"/>
                  <w:tcBorders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120</w:t>
                  </w:r>
                </w:p>
              </w:tc>
            </w:tr>
            <w:tr w:rsidR="00052E9B" w:rsidRPr="0043695D" w:rsidTr="00052E9B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CB0F1E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B1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12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36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48</w:t>
                  </w:r>
                </w:p>
              </w:tc>
            </w:tr>
            <w:tr w:rsidR="00052E9B" w:rsidRPr="0043695D" w:rsidTr="007D4F4F">
              <w:trPr>
                <w:cnfStyle w:val="000000100000"/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26358D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B2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3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45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1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48</w:t>
                  </w:r>
                </w:p>
              </w:tc>
            </w:tr>
            <w:tr w:rsidR="00052E9B" w:rsidRPr="0043695D" w:rsidTr="007D4F4F">
              <w:trPr>
                <w:trHeight w:val="267"/>
                <w:jc w:val="center"/>
              </w:trPr>
              <w:tc>
                <w:tcPr>
                  <w:cnfStyle w:val="001000000000"/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26358D" w:rsidRDefault="00052E9B" w:rsidP="00052E9B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es-ES"/>
                    </w:rPr>
                    <w:t>C</w:t>
                  </w:r>
                </w:p>
              </w:tc>
              <w:tc>
                <w:tcPr>
                  <w:tcW w:w="1234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0</w:t>
                  </w:r>
                </w:p>
              </w:tc>
              <w:tc>
                <w:tcPr>
                  <w:tcW w:w="1235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24</w:t>
                  </w:r>
                </w:p>
              </w:tc>
              <w:tc>
                <w:tcPr>
                  <w:tcW w:w="1243" w:type="dxa"/>
                  <w:tcBorders>
                    <w:top w:val="nil"/>
                    <w:bottom w:val="nil"/>
                  </w:tcBorders>
                  <w:noWrap/>
                  <w:hideMark/>
                </w:tcPr>
                <w:p w:rsidR="00052E9B" w:rsidRPr="0043695D" w:rsidRDefault="00052E9B" w:rsidP="00052E9B">
                  <w:pPr>
                    <w:spacing w:line="360" w:lineRule="auto"/>
                    <w:jc w:val="center"/>
                    <w:cnfStyle w:val="00000000000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</w:pPr>
                  <w:r w:rsidRPr="0043695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s-ES"/>
                    </w:rPr>
                    <w:t>24</w:t>
                  </w:r>
                </w:p>
              </w:tc>
            </w:tr>
          </w:tbl>
          <w:p w:rsidR="00266C7A" w:rsidRPr="0026358D" w:rsidRDefault="00266C7A" w:rsidP="00052E9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052E9B" w:rsidRPr="0043695D" w:rsidRDefault="00052E9B" w:rsidP="00052E9B">
      <w:pPr>
        <w:tabs>
          <w:tab w:val="left" w:pos="1195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Note: B1 is the </w:t>
      </w:r>
      <w:proofErr w:type="spellStart"/>
      <w:r w:rsidRPr="0026358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Pr="0026358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6358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treatment, B2 is the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Lentinula</w:t>
      </w:r>
      <w:proofErr w:type="spellEnd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edodes</w:t>
      </w:r>
      <w:proofErr w:type="spellEnd"/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treatment, Q is the chemical treatment, C is control treatment.</w:t>
      </w:r>
    </w:p>
    <w:p w:rsidR="00266C7A" w:rsidRPr="0043695D" w:rsidRDefault="00266C7A" w:rsidP="00266C7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4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B0F1E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Mean number </w:t>
      </w:r>
      <w:r w:rsidR="00052E9B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and mean height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of </w:t>
      </w:r>
      <w:r w:rsidR="00052E9B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the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sprouts </w:t>
      </w:r>
      <w:r w:rsidR="00052E9B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by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stump </w:t>
      </w:r>
      <w:r w:rsidR="00052E9B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by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treatments.</w:t>
      </w:r>
    </w:p>
    <w:tbl>
      <w:tblPr>
        <w:tblStyle w:val="PlainTable2"/>
        <w:tblW w:w="0" w:type="auto"/>
        <w:jc w:val="center"/>
        <w:tblLook w:val="04A0"/>
      </w:tblPr>
      <w:tblGrid>
        <w:gridCol w:w="3578"/>
        <w:gridCol w:w="1550"/>
        <w:gridCol w:w="1638"/>
      </w:tblGrid>
      <w:tr w:rsidR="00266C7A" w:rsidRPr="0043695D" w:rsidTr="00D9583E">
        <w:trPr>
          <w:cnfStyle w:val="100000000000"/>
          <w:trHeight w:val="30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Treatment</w:t>
            </w:r>
          </w:p>
        </w:tc>
        <w:tc>
          <w:tcPr>
            <w:tcW w:w="0" w:type="auto"/>
            <w:noWrap/>
            <w:vAlign w:val="center"/>
            <w:hideMark/>
          </w:tcPr>
          <w:p w:rsidR="00266C7A" w:rsidRPr="0043695D" w:rsidRDefault="00D9583E" w:rsidP="00052E9B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n sprouts</w:t>
            </w:r>
          </w:p>
        </w:tc>
        <w:tc>
          <w:tcPr>
            <w:tcW w:w="0" w:type="auto"/>
            <w:noWrap/>
            <w:vAlign w:val="center"/>
            <w:hideMark/>
          </w:tcPr>
          <w:p w:rsidR="00266C7A" w:rsidRPr="0043695D" w:rsidRDefault="00D9583E" w:rsidP="00D9583E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h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eight</w:t>
            </w:r>
            <w:r w:rsidR="00052E9B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(m)</w:t>
            </w:r>
          </w:p>
        </w:tc>
      </w:tr>
      <w:tr w:rsidR="00266C7A" w:rsidRPr="0043695D" w:rsidTr="00D9583E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bottom w:val="nil"/>
            </w:tcBorders>
            <w:noWrap/>
            <w:vAlign w:val="center"/>
            <w:hideMark/>
          </w:tcPr>
          <w:p w:rsidR="00266C7A" w:rsidRPr="00CB0F1E" w:rsidRDefault="00486865" w:rsidP="007D4F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CB0F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266C7A" w:rsidRPr="0043695D" w:rsidTr="00D9583E">
        <w:trPr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CB0F1E" w:rsidRDefault="00486865" w:rsidP="007D4F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Lentinula</w:t>
            </w:r>
            <w:proofErr w:type="spellEnd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B0F1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edodes</w:t>
            </w:r>
            <w:proofErr w:type="spellEnd"/>
            <w:r w:rsidRPr="00CB0F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biological treatment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66C7A" w:rsidRPr="0043695D" w:rsidTr="00D9583E">
        <w:trPr>
          <w:cnfStyle w:val="000000100000"/>
          <w:trHeight w:val="300"/>
          <w:jc w:val="center"/>
        </w:trPr>
        <w:tc>
          <w:tcPr>
            <w:cnfStyle w:val="001000000000"/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CB0F1E" w:rsidRDefault="00266C7A" w:rsidP="007D4F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</w:t>
            </w:r>
            <w:r w:rsidR="00486865"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ontrol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266C7A" w:rsidRPr="0043695D" w:rsidTr="00D9583E">
        <w:trPr>
          <w:trHeight w:val="80"/>
          <w:jc w:val="center"/>
        </w:trPr>
        <w:tc>
          <w:tcPr>
            <w:cnfStyle w:val="001000000000"/>
            <w:tcW w:w="0" w:type="auto"/>
            <w:tcBorders>
              <w:top w:val="nil"/>
            </w:tcBorders>
            <w:noWrap/>
            <w:vAlign w:val="center"/>
            <w:hideMark/>
          </w:tcPr>
          <w:p w:rsidR="00266C7A" w:rsidRPr="00CB0F1E" w:rsidRDefault="00486865" w:rsidP="007D4F4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Chemical treatment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</w:tcBorders>
            <w:noWrap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07" w:rsidRPr="004369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695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</w:tbl>
    <w:p w:rsidR="00D9583E" w:rsidRPr="0043695D" w:rsidRDefault="00D9583E" w:rsidP="00D9583E">
      <w:pPr>
        <w:tabs>
          <w:tab w:val="left" w:pos="1195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Note: B1 is the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treatment, B2 is the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Lentinula</w:t>
      </w:r>
      <w:proofErr w:type="spellEnd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>edodes</w:t>
      </w:r>
      <w:proofErr w:type="spellEnd"/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treatment, Q is the chemical treatment, C is control treatment.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5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B0F1E" w:rsidRPr="00CB0F1E">
        <w:rPr>
          <w:rFonts w:ascii="Times New Roman" w:hAnsi="Times New Roman" w:cs="Times New Roman"/>
          <w:sz w:val="20"/>
          <w:szCs w:val="20"/>
          <w:lang w:val="en-GB"/>
        </w:rPr>
        <w:t xml:space="preserve"> -</w:t>
      </w:r>
      <w:r w:rsidRPr="0043695D">
        <w:rPr>
          <w:rFonts w:ascii="Times New Roman" w:hAnsi="Times New Roman" w:cs="Times New Roman"/>
          <w:b w:val="0"/>
          <w:sz w:val="20"/>
          <w:szCs w:val="20"/>
          <w:lang w:val="en-GB"/>
        </w:rPr>
        <w:t xml:space="preserve">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Considered random effects configurations for each model</w:t>
      </w:r>
      <w:r w:rsidR="00CB0F1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tbl>
      <w:tblPr>
        <w:tblStyle w:val="PlainTable2"/>
        <w:tblW w:w="5464" w:type="dxa"/>
        <w:jc w:val="center"/>
        <w:tblLook w:val="04A0"/>
      </w:tblPr>
      <w:tblGrid>
        <w:gridCol w:w="761"/>
        <w:gridCol w:w="3563"/>
        <w:gridCol w:w="1143"/>
      </w:tblGrid>
      <w:tr w:rsidR="00266C7A" w:rsidRPr="0043695D" w:rsidTr="00052E9B">
        <w:trPr>
          <w:cnfStyle w:val="100000000000"/>
          <w:trHeight w:val="18"/>
          <w:jc w:val="center"/>
        </w:trPr>
        <w:tc>
          <w:tcPr>
            <w:cnfStyle w:val="001000000000"/>
            <w:tcW w:w="758" w:type="dxa"/>
            <w:noWrap/>
            <w:vAlign w:val="center"/>
            <w:hideMark/>
          </w:tcPr>
          <w:p w:rsidR="00266C7A" w:rsidRPr="00CB0F1E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Model</w:t>
            </w:r>
          </w:p>
        </w:tc>
        <w:tc>
          <w:tcPr>
            <w:tcW w:w="3563" w:type="dxa"/>
            <w:noWrap/>
            <w:vAlign w:val="center"/>
            <w:hideMark/>
          </w:tcPr>
          <w:p w:rsidR="00266C7A" w:rsidRPr="00CB0F1E" w:rsidRDefault="00266C7A" w:rsidP="007D4F4F">
            <w:pPr>
              <w:spacing w:line="360" w:lineRule="auto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Random effects</w:t>
            </w:r>
          </w:p>
        </w:tc>
        <w:tc>
          <w:tcPr>
            <w:tcW w:w="1143" w:type="dxa"/>
            <w:noWrap/>
            <w:vAlign w:val="center"/>
            <w:hideMark/>
          </w:tcPr>
          <w:p w:rsidR="00266C7A" w:rsidRPr="00CB0F1E" w:rsidRDefault="00266C7A" w:rsidP="00052E9B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AIC</w:t>
            </w:r>
          </w:p>
        </w:tc>
      </w:tr>
      <w:tr w:rsidR="00266C7A" w:rsidRPr="0043695D" w:rsidTr="00052E9B">
        <w:trPr>
          <w:cnfStyle w:val="000000100000"/>
          <w:trHeight w:val="18"/>
          <w:jc w:val="center"/>
        </w:trPr>
        <w:tc>
          <w:tcPr>
            <w:cnfStyle w:val="001000000000"/>
            <w:tcW w:w="758" w:type="dxa"/>
            <w:tcBorders>
              <w:bottom w:val="nil"/>
            </w:tcBorders>
            <w:noWrap/>
            <w:vAlign w:val="center"/>
            <w:hideMark/>
          </w:tcPr>
          <w:p w:rsidR="00266C7A" w:rsidRPr="00CB0F1E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  <w:r w:rsidR="00D9583E"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.1</w:t>
            </w:r>
          </w:p>
        </w:tc>
        <w:tc>
          <w:tcPr>
            <w:tcW w:w="356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523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266C7A" w:rsidRPr="0043695D" w:rsidTr="00052E9B">
        <w:trPr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  <w:bottom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</w:t>
            </w:r>
          </w:p>
        </w:tc>
        <w:tc>
          <w:tcPr>
            <w:tcW w:w="35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 + treatment in transect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505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266C7A" w:rsidRPr="0043695D" w:rsidTr="00052E9B">
        <w:trPr>
          <w:cnfStyle w:val="000000100000"/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</w:t>
            </w:r>
          </w:p>
        </w:tc>
        <w:tc>
          <w:tcPr>
            <w:tcW w:w="356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Treatment in transect</w:t>
            </w:r>
          </w:p>
        </w:tc>
        <w:tc>
          <w:tcPr>
            <w:tcW w:w="114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503</w:t>
            </w:r>
            <w:r w:rsidR="009A3007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266C7A" w:rsidRPr="0043695D" w:rsidTr="00052E9B">
        <w:trPr>
          <w:trHeight w:val="18"/>
          <w:jc w:val="center"/>
        </w:trPr>
        <w:tc>
          <w:tcPr>
            <w:cnfStyle w:val="001000000000"/>
            <w:tcW w:w="758" w:type="dxa"/>
            <w:tcBorders>
              <w:bottom w:val="nil"/>
            </w:tcBorders>
            <w:noWrap/>
            <w:vAlign w:val="center"/>
            <w:hideMark/>
          </w:tcPr>
          <w:p w:rsidR="00266C7A" w:rsidRPr="00CB0F1E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  <w:r w:rsidR="00D9583E"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.1</w:t>
            </w:r>
          </w:p>
        </w:tc>
        <w:tc>
          <w:tcPr>
            <w:tcW w:w="356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160</w:t>
            </w:r>
            <w:r w:rsidR="009A3007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266C7A" w:rsidRPr="0043695D" w:rsidTr="00052E9B">
        <w:trPr>
          <w:cnfStyle w:val="000000100000"/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  <w:bottom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2.2</w:t>
            </w:r>
          </w:p>
        </w:tc>
        <w:tc>
          <w:tcPr>
            <w:tcW w:w="35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Transect + treatment in transect </w:t>
            </w:r>
            <w:r w:rsidRPr="00436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*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9711A6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162.5</w:t>
            </w:r>
          </w:p>
        </w:tc>
      </w:tr>
      <w:tr w:rsidR="00266C7A" w:rsidRPr="0043695D" w:rsidTr="00052E9B">
        <w:trPr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  <w:bottom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2.3</w:t>
            </w:r>
          </w:p>
        </w:tc>
        <w:tc>
          <w:tcPr>
            <w:tcW w:w="35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Treatment in transect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162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="009711A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</w:t>
            </w:r>
          </w:p>
        </w:tc>
      </w:tr>
      <w:tr w:rsidR="00266C7A" w:rsidRPr="0043695D" w:rsidTr="00052E9B">
        <w:trPr>
          <w:cnfStyle w:val="000000100000"/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</w:tcBorders>
            <w:noWrap/>
            <w:vAlign w:val="center"/>
          </w:tcPr>
          <w:p w:rsidR="00266C7A" w:rsidRPr="00CB0F1E" w:rsidRDefault="00D9583E" w:rsidP="00D9583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2.4</w:t>
            </w:r>
          </w:p>
        </w:tc>
        <w:tc>
          <w:tcPr>
            <w:tcW w:w="356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Transect </w:t>
            </w:r>
            <w:r w:rsidR="004629D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(Girona dataset)</w:t>
            </w:r>
          </w:p>
        </w:tc>
        <w:tc>
          <w:tcPr>
            <w:tcW w:w="114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122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266C7A" w:rsidRPr="0043695D" w:rsidTr="00052E9B">
        <w:trPr>
          <w:trHeight w:val="18"/>
          <w:jc w:val="center"/>
        </w:trPr>
        <w:tc>
          <w:tcPr>
            <w:cnfStyle w:val="001000000000"/>
            <w:tcW w:w="758" w:type="dxa"/>
            <w:tcBorders>
              <w:bottom w:val="nil"/>
            </w:tcBorders>
            <w:noWrap/>
            <w:vAlign w:val="center"/>
            <w:hideMark/>
          </w:tcPr>
          <w:p w:rsidR="00266C7A" w:rsidRPr="00CB0F1E" w:rsidRDefault="00266C7A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  <w:r w:rsidR="00D9583E"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.1</w:t>
            </w:r>
          </w:p>
        </w:tc>
        <w:tc>
          <w:tcPr>
            <w:tcW w:w="356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</w:t>
            </w:r>
          </w:p>
        </w:tc>
        <w:tc>
          <w:tcPr>
            <w:tcW w:w="1143" w:type="dxa"/>
            <w:tcBorders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391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</w:tr>
      <w:tr w:rsidR="00266C7A" w:rsidRPr="0043695D" w:rsidTr="00052E9B">
        <w:trPr>
          <w:cnfStyle w:val="000000100000"/>
          <w:trHeight w:val="18"/>
          <w:jc w:val="center"/>
        </w:trPr>
        <w:tc>
          <w:tcPr>
            <w:cnfStyle w:val="001000000000"/>
            <w:tcW w:w="758" w:type="dxa"/>
            <w:tcBorders>
              <w:top w:val="nil"/>
              <w:bottom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3.2</w:t>
            </w:r>
          </w:p>
        </w:tc>
        <w:tc>
          <w:tcPr>
            <w:tcW w:w="356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Transect + Treatment in Transect</w:t>
            </w:r>
          </w:p>
        </w:tc>
        <w:tc>
          <w:tcPr>
            <w:tcW w:w="1143" w:type="dxa"/>
            <w:tcBorders>
              <w:top w:val="nil"/>
              <w:bottom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391</w:t>
            </w:r>
            <w:r w:rsidR="009A3007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266C7A" w:rsidRPr="0043695D" w:rsidTr="00052E9B">
        <w:trPr>
          <w:trHeight w:val="74"/>
          <w:jc w:val="center"/>
        </w:trPr>
        <w:tc>
          <w:tcPr>
            <w:cnfStyle w:val="001000000000"/>
            <w:tcW w:w="758" w:type="dxa"/>
            <w:tcBorders>
              <w:top w:val="nil"/>
            </w:tcBorders>
            <w:noWrap/>
            <w:vAlign w:val="center"/>
          </w:tcPr>
          <w:p w:rsidR="00266C7A" w:rsidRPr="00CB0F1E" w:rsidRDefault="00D9583E" w:rsidP="00052E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3.3</w:t>
            </w:r>
          </w:p>
        </w:tc>
        <w:tc>
          <w:tcPr>
            <w:tcW w:w="356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7D4F4F">
            <w:pPr>
              <w:spacing w:line="360" w:lineRule="auto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Treatment in transect</w:t>
            </w:r>
          </w:p>
        </w:tc>
        <w:tc>
          <w:tcPr>
            <w:tcW w:w="1143" w:type="dxa"/>
            <w:tcBorders>
              <w:top w:val="nil"/>
            </w:tcBorders>
            <w:noWrap/>
            <w:vAlign w:val="center"/>
            <w:hideMark/>
          </w:tcPr>
          <w:p w:rsidR="00266C7A" w:rsidRPr="0043695D" w:rsidRDefault="00266C7A" w:rsidP="00052E9B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389</w:t>
            </w:r>
            <w:r w:rsidR="009A3007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</w:tbl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Note: </w:t>
      </w:r>
      <w:proofErr w:type="spellStart"/>
      <w:r w:rsidRPr="0026358D">
        <w:rPr>
          <w:rFonts w:ascii="Times New Roman" w:hAnsi="Times New Roman" w:cs="Times New Roman"/>
          <w:sz w:val="20"/>
          <w:szCs w:val="20"/>
          <w:lang w:val="en-GB"/>
        </w:rPr>
        <w:t>nc</w:t>
      </w:r>
      <w:proofErr w:type="spellEnd"/>
      <w:r w:rsidRPr="0026358D">
        <w:rPr>
          <w:rFonts w:ascii="Times New Roman" w:hAnsi="Times New Roman" w:cs="Times New Roman"/>
          <w:sz w:val="20"/>
          <w:szCs w:val="20"/>
          <w:lang w:val="en-GB"/>
        </w:rPr>
        <w:t>: not converge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; AIC: Akaike Information Criterion.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E801DA" w:rsidP="00266C7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</w:rPr>
        <w:fldChar w:fldCharType="begin"/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instrText xml:space="preserve"> LINK Excel.Sheet.12 D:\\Documents\\Desktop\\vocabulario.xlsx Hoja1!F1C1:F7C6 \a \f 4 \h  \* MERGEFORMAT </w:instrText>
      </w:r>
      <w:r w:rsidRPr="0026358D">
        <w:rPr>
          <w:rFonts w:ascii="Times New Roman" w:hAnsi="Times New Roman" w:cs="Times New Roman"/>
          <w:sz w:val="20"/>
          <w:szCs w:val="20"/>
        </w:rPr>
        <w:fldChar w:fldCharType="separate"/>
      </w: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6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B0F1E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="00CB0F1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Solution for the 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b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iological and control 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treatment </w:t>
      </w:r>
      <w:r w:rsidR="00131752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model comparing the effect of the </w:t>
      </w:r>
      <w:proofErr w:type="spellStart"/>
      <w:r w:rsidR="00131752" w:rsidRPr="0043695D">
        <w:rPr>
          <w:rFonts w:ascii="Times New Roman" w:hAnsi="Times New Roman" w:cs="Times New Roman"/>
          <w:b w:val="0"/>
          <w:i/>
          <w:sz w:val="20"/>
          <w:szCs w:val="20"/>
          <w:lang w:val="en-GB"/>
        </w:rPr>
        <w:t>Pleurotus</w:t>
      </w:r>
      <w:proofErr w:type="spellEnd"/>
      <w:r w:rsidR="00131752" w:rsidRPr="0043695D">
        <w:rPr>
          <w:rFonts w:ascii="Times New Roman" w:hAnsi="Times New Roman" w:cs="Times New Roman"/>
          <w:b w:val="0"/>
          <w:i/>
          <w:sz w:val="20"/>
          <w:szCs w:val="20"/>
          <w:lang w:val="en-GB"/>
        </w:rPr>
        <w:t xml:space="preserve"> </w:t>
      </w:r>
      <w:proofErr w:type="spellStart"/>
      <w:r w:rsidR="00131752" w:rsidRPr="0043695D">
        <w:rPr>
          <w:rFonts w:ascii="Times New Roman" w:hAnsi="Times New Roman" w:cs="Times New Roman"/>
          <w:b w:val="0"/>
          <w:i/>
          <w:sz w:val="20"/>
          <w:szCs w:val="20"/>
          <w:lang w:val="en-GB"/>
        </w:rPr>
        <w:t>ostreatus</w:t>
      </w:r>
      <w:proofErr w:type="spellEnd"/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</w:t>
      </w:r>
      <w:r w:rsidR="00131752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(B1) and control treatments across all sites (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model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1.3</w:t>
      </w:r>
      <w:r w:rsidR="00131752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, table 2)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7"/>
        <w:gridCol w:w="1303"/>
        <w:gridCol w:w="1304"/>
        <w:gridCol w:w="1304"/>
        <w:gridCol w:w="1304"/>
        <w:gridCol w:w="1952"/>
      </w:tblGrid>
      <w:tr w:rsidR="00266C7A" w:rsidRPr="0043695D" w:rsidTr="00052E9B">
        <w:trPr>
          <w:trHeight w:val="300"/>
        </w:trPr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Fixed effects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Estimate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Std.Error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z value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Pr(&gt;|z|)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Significance codes</w:t>
            </w: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(Intercept)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3.2313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0.5050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6.399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site Cuenca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3,1581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0.8833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3.576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4C0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0.000</w:t>
            </w:r>
            <w:r w:rsidR="004C01A8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***</w:t>
            </w: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site </w:t>
            </w:r>
            <w:r w:rsidRPr="00CB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Lugo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-0.3370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0.4751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-0.709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4C0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0.478</w:t>
            </w:r>
            <w:r w:rsidR="004C01A8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site Girona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1,8598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0.7353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2.529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4C0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0.0114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*</w:t>
            </w: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site </w:t>
            </w:r>
            <w:r w:rsidRPr="00CB0F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7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1,1452</w:t>
            </w:r>
          </w:p>
        </w:tc>
        <w:tc>
          <w:tcPr>
            <w:tcW w:w="7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0.6728</w:t>
            </w:r>
          </w:p>
        </w:tc>
        <w:tc>
          <w:tcPr>
            <w:tcW w:w="7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1.702</w:t>
            </w:r>
          </w:p>
        </w:tc>
        <w:tc>
          <w:tcPr>
            <w:tcW w:w="75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4C0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0.0887</w:t>
            </w:r>
          </w:p>
        </w:tc>
        <w:tc>
          <w:tcPr>
            <w:tcW w:w="11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266C7A" w:rsidRPr="0043695D" w:rsidTr="00052E9B">
        <w:trPr>
          <w:trHeight w:val="300"/>
        </w:trPr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CB0F1E" w:rsidRDefault="00266C7A" w:rsidP="004C01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treatment </w:t>
            </w:r>
            <w:r w:rsidR="004C01A8" w:rsidRPr="00CB0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-</w:t>
            </w:r>
            <w:r w:rsidR="00266C7A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2</w:t>
            </w:r>
            <w:r w:rsidR="007C0E1E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="00266C7A"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8573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0.4749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6.016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4C01A8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***</w:t>
            </w:r>
          </w:p>
        </w:tc>
      </w:tr>
    </w:tbl>
    <w:p w:rsidR="00266C7A" w:rsidRPr="0043695D" w:rsidRDefault="00E801DA" w:rsidP="00266C7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</w:rPr>
        <w:fldChar w:fldCharType="end"/>
      </w:r>
      <w:r w:rsidR="00266C7A"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Note: Std. Error is the standard error of the estimate, z value is the value of the Z test, Pr(&gt;|z|) is the P-value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associated with the test. Refere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nce level for place is </w:t>
      </w:r>
      <w:proofErr w:type="spellStart"/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Cáceres</w:t>
      </w:r>
      <w:proofErr w:type="spellEnd"/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and for the treatment is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the control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The estimate for s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ite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C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uenca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the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odds of sprouting in Cuenca, 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site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L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ugo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that for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Lugo, </w:t>
      </w:r>
      <w:r w:rsidR="00C1075C" w:rsidRPr="0043695D">
        <w:rPr>
          <w:rFonts w:ascii="Times New Roman" w:hAnsi="Times New Roman" w:cs="Times New Roman"/>
          <w:sz w:val="20"/>
          <w:szCs w:val="20"/>
          <w:lang w:val="en-GB"/>
        </w:rPr>
        <w:t>site G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irona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that for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G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i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rona, 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site Toledo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that for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Toledo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. The estimate for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treatment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B1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the </w:t>
      </w:r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4C01A8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between treatment B1 and the control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. Signif</w:t>
      </w:r>
      <w:r w:rsidR="008B2717" w:rsidRPr="0043695D">
        <w:rPr>
          <w:rFonts w:ascii="Times New Roman" w:hAnsi="Times New Roman" w:cs="Times New Roman"/>
          <w:sz w:val="20"/>
          <w:szCs w:val="20"/>
          <w:lang w:val="en-GB"/>
        </w:rPr>
        <w:t>icance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codes:  0 ‘***’; 0.001 ‘**’; 0.01 ‘*’; 0.05 ‘.’; 0.1 ‘’; 1.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7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end"/>
      </w:r>
      <w:r w:rsidR="00CB0F1E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Estimated probabilities of sprouting in stumps treated with B1 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by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sites.</w:t>
      </w:r>
    </w:p>
    <w:tbl>
      <w:tblPr>
        <w:tblW w:w="4620" w:type="dxa"/>
        <w:jc w:val="center"/>
        <w:tblCellMar>
          <w:left w:w="70" w:type="dxa"/>
          <w:right w:w="70" w:type="dxa"/>
        </w:tblCellMar>
        <w:tblLook w:val="04A0"/>
      </w:tblPr>
      <w:tblGrid>
        <w:gridCol w:w="873"/>
        <w:gridCol w:w="2840"/>
        <w:gridCol w:w="907"/>
      </w:tblGrid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Site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486865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Pleurotus</w:t>
            </w:r>
            <w:proofErr w:type="spellEnd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695D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ostreatus</w:t>
            </w:r>
            <w:proofErr w:type="spellEnd"/>
            <w:r w:rsidRPr="0043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treatment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</w:t>
            </w:r>
            <w:r w:rsidR="00486865" w:rsidRPr="00436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ontrol</w:t>
            </w:r>
          </w:p>
        </w:tc>
      </w:tr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7D4F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Cáceres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0.5924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0.9620</w:t>
            </w:r>
          </w:p>
        </w:tc>
      </w:tr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7D4F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0.9716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0.9983</w:t>
            </w:r>
          </w:p>
        </w:tc>
      </w:tr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7D4F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Lugo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0.5092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0.9476</w:t>
            </w:r>
          </w:p>
        </w:tc>
      </w:tr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7D4F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Girona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0.9032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0.9939</w:t>
            </w:r>
          </w:p>
        </w:tc>
      </w:tr>
      <w:tr w:rsidR="00266C7A" w:rsidRPr="0043695D" w:rsidTr="007D4F4F">
        <w:trPr>
          <w:trHeight w:val="300"/>
          <w:jc w:val="center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7D4F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Toledo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0.8204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0.9876</w:t>
            </w:r>
          </w:p>
        </w:tc>
      </w:tr>
    </w:tbl>
    <w:p w:rsidR="00266C7A" w:rsidRPr="0026358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8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fldChar w:fldCharType="end"/>
      </w:r>
      <w:r w:rsidR="00CB0F1E"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Solution for the 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model comparing the effects o</w:t>
      </w:r>
      <w:r w:rsidR="00131752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f the </w:t>
      </w:r>
      <w:proofErr w:type="spellStart"/>
      <w:r w:rsidR="00131752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Pleurotus</w:t>
      </w:r>
      <w:proofErr w:type="spellEnd"/>
      <w:r w:rsidR="00131752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 xml:space="preserve"> </w:t>
      </w:r>
      <w:proofErr w:type="spellStart"/>
      <w:r w:rsidR="00131752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ostreatus</w:t>
      </w:r>
      <w:proofErr w:type="spellEnd"/>
      <w:r w:rsidR="00131752" w:rsidRPr="00CB0F1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(B1), chemical and control treatments in Girona and Lugo</w:t>
      </w:r>
      <w:r w:rsidR="00131752" w:rsidRPr="0043695D">
        <w:rPr>
          <w:rFonts w:ascii="Times New Roman" w:hAnsi="Times New Roman" w:cs="Times New Roman"/>
          <w:b w:val="0"/>
          <w:sz w:val="20"/>
          <w:szCs w:val="20"/>
          <w:lang w:val="en-GB"/>
        </w:rPr>
        <w:t xml:space="preserve"> </w:t>
      </w:r>
      <w:r w:rsidR="00131752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(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model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2.1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, table 2)</w:t>
      </w:r>
      <w:r w:rsidR="00CB0F1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7"/>
        <w:gridCol w:w="1300"/>
        <w:gridCol w:w="1300"/>
        <w:gridCol w:w="1300"/>
        <w:gridCol w:w="1300"/>
        <w:gridCol w:w="1967"/>
      </w:tblGrid>
      <w:tr w:rsidR="00266C7A" w:rsidRPr="0043695D" w:rsidTr="00052E9B">
        <w:trPr>
          <w:trHeight w:val="300"/>
        </w:trPr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Fixed effects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Estimate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Std. Error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z value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Pr(&gt;|z|)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Significance codes</w:t>
            </w:r>
          </w:p>
        </w:tc>
      </w:tr>
      <w:tr w:rsidR="00266C7A" w:rsidRPr="0043695D" w:rsidTr="00052E9B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(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Intercept)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9B2D36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4.7951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9B2D36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1.0171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4.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715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9B2D36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***</w:t>
            </w:r>
          </w:p>
        </w:tc>
      </w:tr>
      <w:tr w:rsidR="00266C7A" w:rsidRPr="0043695D" w:rsidTr="00052E9B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site Girona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-1,9984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0.7251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-2.756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0.005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**</w:t>
            </w:r>
          </w:p>
        </w:tc>
      </w:tr>
      <w:tr w:rsidR="00266C7A" w:rsidRPr="0043695D" w:rsidTr="00052E9B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reatment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9B2D36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1,0938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0.8185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1.336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0.1814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66C7A" w:rsidRPr="0043695D" w:rsidTr="00052E9B">
        <w:trPr>
          <w:trHeight w:val="300"/>
        </w:trPr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reatment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Q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1.3373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8090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1.653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9B2D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</w:t>
            </w:r>
            <w:r w:rsidR="009B2D36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0983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266C7A" w:rsidRPr="0043695D" w:rsidRDefault="00266C7A" w:rsidP="00266C7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t xml:space="preserve">Note: Std. Error is the standard error of the estimate, z value is the value of the Z test, Pr(&gt;|z|) is the P-value associated with the test. Reference level for treatment is 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the control 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and Lugo for the site. t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reatment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>B1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is 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of sprouting between the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9B2D36" w:rsidRPr="0043695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="009B2D36"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9B2D36" w:rsidRPr="0043695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(B1) 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treatment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and the control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, treatment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Q is the 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of between 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the chemical treatment</w:t>
      </w:r>
      <w:r w:rsidR="009B2D3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and the control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8B2717" w:rsidRPr="0043695D">
        <w:rPr>
          <w:rFonts w:ascii="Times New Roman" w:hAnsi="Times New Roman" w:cs="Times New Roman"/>
          <w:sz w:val="20"/>
          <w:szCs w:val="20"/>
          <w:lang w:val="en-GB"/>
        </w:rPr>
        <w:t>Significance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codes:  0 ‘***’; 0.001 ‘**’; 0.01 ‘*’; 0.05 ‘.’; 0.1 ‘’; 1.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sz w:val="20"/>
          <w:szCs w:val="20"/>
          <w:lang w:val="en-GB"/>
        </w:rPr>
      </w:pP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401613" w:rsidRPr="00CB0F1E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9</w:t>
      </w:r>
      <w:r w:rsidR="00E801DA" w:rsidRPr="00CB0F1E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B0F1E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Pr="0043695D">
        <w:rPr>
          <w:rFonts w:ascii="Times New Roman" w:hAnsi="Times New Roman" w:cs="Times New Roman"/>
          <w:b w:val="0"/>
          <w:sz w:val="20"/>
          <w:szCs w:val="20"/>
          <w:lang w:val="en-GB"/>
        </w:rPr>
        <w:t xml:space="preserve"> 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Solution for the 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model comparing the effects of the </w:t>
      </w:r>
      <w:proofErr w:type="spellStart"/>
      <w:r w:rsidR="00241D46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Pleurotus</w:t>
      </w:r>
      <w:proofErr w:type="spellEnd"/>
      <w:r w:rsidR="00241D46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 xml:space="preserve"> </w:t>
      </w:r>
      <w:proofErr w:type="spellStart"/>
      <w:r w:rsidR="00241D46" w:rsidRPr="00CB0F1E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ostreatus</w:t>
      </w:r>
      <w:proofErr w:type="spellEnd"/>
      <w:r w:rsidR="00241D46" w:rsidRPr="00CB0F1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(B1), chemical and control treatments in Girona</w:t>
      </w:r>
      <w:r w:rsidR="00241D46" w:rsidRPr="0043695D">
        <w:rPr>
          <w:rFonts w:ascii="Times New Roman" w:hAnsi="Times New Roman" w:cs="Times New Roman"/>
          <w:b w:val="0"/>
          <w:sz w:val="20"/>
          <w:szCs w:val="20"/>
          <w:lang w:val="en-GB"/>
        </w:rPr>
        <w:t xml:space="preserve"> (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model 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2.4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)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552"/>
        <w:gridCol w:w="1286"/>
        <w:gridCol w:w="1286"/>
        <w:gridCol w:w="1286"/>
        <w:gridCol w:w="1286"/>
        <w:gridCol w:w="1948"/>
      </w:tblGrid>
      <w:tr w:rsidR="00266C7A" w:rsidRPr="0043695D" w:rsidTr="00052E9B">
        <w:trPr>
          <w:trHeight w:val="300"/>
        </w:trPr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s-ES"/>
              </w:rPr>
              <w:t>Fixed effects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Estimate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Std. Error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z value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Pr(&gt;|z|)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Significance codes</w:t>
            </w:r>
          </w:p>
        </w:tc>
      </w:tr>
      <w:tr w:rsidR="00266C7A" w:rsidRPr="0043695D" w:rsidTr="00052E9B">
        <w:trPr>
          <w:trHeight w:val="300"/>
        </w:trPr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 w:eastAsia="es-ES"/>
              </w:rPr>
              <w:t>(Intercept)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3.210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1.039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3.090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0.0020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s-ES"/>
              </w:rPr>
              <w:t>**</w:t>
            </w:r>
          </w:p>
        </w:tc>
      </w:tr>
      <w:tr w:rsidR="00266C7A" w:rsidRPr="0043695D" w:rsidTr="00052E9B">
        <w:trPr>
          <w:trHeight w:val="300"/>
        </w:trPr>
        <w:tc>
          <w:tcPr>
            <w:tcW w:w="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t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reatment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 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B1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-1.448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1.093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-1.325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0.1853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266C7A" w:rsidRPr="0043695D" w:rsidTr="00052E9B">
        <w:trPr>
          <w:trHeight w:val="300"/>
        </w:trPr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D9583E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t</w:t>
            </w:r>
            <w:r w:rsidR="00266C7A"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reatment</w:t>
            </w: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 Q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-2.076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1.070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-1.940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0.0524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C7A" w:rsidRPr="0043695D" w:rsidRDefault="00266C7A" w:rsidP="00052E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</w:tbl>
    <w:p w:rsidR="00266C7A" w:rsidRPr="0043695D" w:rsidRDefault="00266C7A" w:rsidP="00266C7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t>Note: Std. Error is the standard error of the estimate, z value is the value of the Z test, Pr(&gt;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|z|) is the P-value associated with the test. Reference level for treatment is Control</w:t>
      </w:r>
      <w:r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>(C)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>. Treatment</w:t>
      </w:r>
      <w:r w:rsidR="00D9583E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B1 is the </w:t>
      </w:r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of sprouting between the </w:t>
      </w:r>
      <w:proofErr w:type="spellStart"/>
      <w:r w:rsidR="00241D46" w:rsidRPr="0043695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="00241D46"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241D46" w:rsidRPr="0043695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(B1) treatment and the control, treatment Q is the difference in the </w:t>
      </w:r>
      <w:proofErr w:type="spellStart"/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241D4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of between the chemical treatment and the control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8B2717" w:rsidRPr="0043695D">
        <w:rPr>
          <w:rFonts w:ascii="Times New Roman" w:hAnsi="Times New Roman" w:cs="Times New Roman"/>
          <w:sz w:val="20"/>
          <w:szCs w:val="20"/>
          <w:lang w:val="en-GB"/>
        </w:rPr>
        <w:t>Significance</w:t>
      </w:r>
      <w:r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codes:  0 ‘***’; 0.001 ‘**’; 0.01 ‘*’; 0.05 ‘.’; 0.1 ‘’; 1.</w:t>
      </w: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266C7A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266C7A" w:rsidRPr="0043695D" w:rsidRDefault="00E801DA" w:rsidP="00266C7A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fldChar w:fldCharType="begin"/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instrText xml:space="preserve"> LINK Excel.Sheet.12 D:\\Documents\\Desktop\\vocabulario.xlsx Hoja1!F1C1:F5C5 \a \f 4 \h  \* MERGEFORMAT </w:instrText>
      </w:r>
      <w:r w:rsidRPr="0026358D">
        <w:rPr>
          <w:rFonts w:ascii="Times New Roman" w:hAnsi="Times New Roman" w:cs="Times New Roman"/>
          <w:sz w:val="20"/>
          <w:szCs w:val="20"/>
          <w:lang w:val="en-GB"/>
        </w:rPr>
        <w:fldChar w:fldCharType="separate"/>
      </w:r>
    </w:p>
    <w:p w:rsidR="00266C7A" w:rsidRPr="0043695D" w:rsidRDefault="00266C7A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695D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:rsidR="00266C7A" w:rsidRPr="0043695D" w:rsidRDefault="00266C7A" w:rsidP="00266C7A">
      <w:pPr>
        <w:pStyle w:val="Didascalia"/>
        <w:keepNext/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</w:pPr>
      <w:r w:rsidRPr="00774CE0">
        <w:rPr>
          <w:rFonts w:ascii="Times New Roman" w:hAnsi="Times New Roman" w:cs="Times New Roman"/>
          <w:color w:val="auto"/>
          <w:sz w:val="20"/>
          <w:szCs w:val="20"/>
          <w:lang w:val="en-GB"/>
        </w:rPr>
        <w:lastRenderedPageBreak/>
        <w:t xml:space="preserve">Table </w:t>
      </w:r>
      <w:r w:rsidR="00E801DA" w:rsidRPr="00774CE0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774CE0">
        <w:rPr>
          <w:rFonts w:ascii="Times New Roman" w:hAnsi="Times New Roman" w:cs="Times New Roman"/>
          <w:color w:val="auto"/>
          <w:sz w:val="20"/>
          <w:szCs w:val="20"/>
          <w:lang w:val="en-GB"/>
        </w:rPr>
        <w:instrText xml:space="preserve"> SEQ Table \* ARABIC </w:instrText>
      </w:r>
      <w:r w:rsidR="00E801DA" w:rsidRPr="00774CE0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401613" w:rsidRPr="00774CE0">
        <w:rPr>
          <w:rFonts w:ascii="Times New Roman" w:hAnsi="Times New Roman" w:cs="Times New Roman"/>
          <w:noProof/>
          <w:color w:val="auto"/>
          <w:sz w:val="20"/>
          <w:szCs w:val="20"/>
          <w:lang w:val="en-GB"/>
        </w:rPr>
        <w:t>10</w:t>
      </w:r>
      <w:r w:rsidR="00E801DA" w:rsidRPr="00774CE0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774CE0" w:rsidRPr="00774CE0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-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Solution for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the model comparing the effects of the </w:t>
      </w:r>
      <w:proofErr w:type="spellStart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Pleurotus</w:t>
      </w:r>
      <w:proofErr w:type="spellEnd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 xml:space="preserve"> </w:t>
      </w:r>
      <w:proofErr w:type="spellStart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ostreatus</w:t>
      </w:r>
      <w:proofErr w:type="spellEnd"/>
      <w:r w:rsidR="00241D46" w:rsidRPr="00774CE0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(B1), </w:t>
      </w:r>
      <w:proofErr w:type="spellStart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Lentinula</w:t>
      </w:r>
      <w:proofErr w:type="spellEnd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 xml:space="preserve"> </w:t>
      </w:r>
      <w:proofErr w:type="spellStart"/>
      <w:r w:rsidR="00241D46" w:rsidRPr="00774CE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/>
        </w:rPr>
        <w:t>edodes</w:t>
      </w:r>
      <w:proofErr w:type="spellEnd"/>
      <w:r w:rsidR="00241D46" w:rsidRPr="00774CE0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(B2) and control treatments in Lugo and Toledo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(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model</w:t>
      </w:r>
      <w:r w:rsidR="00D9583E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</w:t>
      </w:r>
      <w:r w:rsidR="00D76B5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3.3</w:t>
      </w:r>
      <w:r w:rsidR="00241D46"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)</w:t>
      </w:r>
      <w:r w:rsidRPr="0043695D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tbl>
      <w:tblPr>
        <w:tblW w:w="6673" w:type="dxa"/>
        <w:jc w:val="center"/>
        <w:tblCellMar>
          <w:left w:w="70" w:type="dxa"/>
          <w:right w:w="70" w:type="dxa"/>
        </w:tblCellMar>
        <w:tblLook w:val="04A0"/>
      </w:tblPr>
      <w:tblGrid>
        <w:gridCol w:w="1440"/>
        <w:gridCol w:w="920"/>
        <w:gridCol w:w="960"/>
        <w:gridCol w:w="760"/>
        <w:gridCol w:w="880"/>
        <w:gridCol w:w="1713"/>
      </w:tblGrid>
      <w:tr w:rsidR="008B2717" w:rsidRPr="0043695D" w:rsidTr="008B2717">
        <w:trPr>
          <w:trHeight w:val="300"/>
          <w:jc w:val="center"/>
        </w:trPr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Effects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Std. Error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z 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Pr(&gt;|z|)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8B2717" w:rsidRPr="0043695D" w:rsidRDefault="008B2717" w:rsidP="008B27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Significance codes</w:t>
            </w:r>
          </w:p>
        </w:tc>
      </w:tr>
      <w:tr w:rsidR="008B2717" w:rsidRPr="0043695D" w:rsidTr="008B2717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(</w:t>
            </w: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Intercept)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3.4289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0.7445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4.605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***</w:t>
            </w:r>
          </w:p>
        </w:tc>
      </w:tr>
      <w:tr w:rsidR="008B2717" w:rsidRPr="0043695D" w:rsidTr="008B2717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site Toledo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2.4205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0.3985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6.074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***</w:t>
            </w:r>
          </w:p>
        </w:tc>
      </w:tr>
      <w:tr w:rsidR="008B2717" w:rsidRPr="0043695D" w:rsidTr="008B2717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treatment</w:t>
            </w: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B1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-4.5990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0.7953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-5.783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713" w:type="dxa"/>
            <w:tcBorders>
              <w:top w:val="nil"/>
              <w:left w:val="nil"/>
              <w:right w:val="nil"/>
            </w:tcBorders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***</w:t>
            </w:r>
          </w:p>
        </w:tc>
      </w:tr>
      <w:tr w:rsidR="008B2717" w:rsidRPr="0043695D" w:rsidTr="008B2717">
        <w:trPr>
          <w:trHeight w:val="300"/>
          <w:jc w:val="center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2635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treatment</w:t>
            </w: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B2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-3.1235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0.7721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-4.045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&lt;0.0001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717" w:rsidRPr="0043695D" w:rsidRDefault="008B2717" w:rsidP="008B2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3695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***</w:t>
            </w:r>
          </w:p>
        </w:tc>
      </w:tr>
    </w:tbl>
    <w:p w:rsidR="007D4F4F" w:rsidRPr="0043695D" w:rsidRDefault="00E801DA" w:rsidP="007D4F4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6358D">
        <w:rPr>
          <w:rFonts w:ascii="Times New Roman" w:hAnsi="Times New Roman" w:cs="Times New Roman"/>
          <w:sz w:val="20"/>
          <w:szCs w:val="20"/>
          <w:lang w:val="en-GB"/>
        </w:rPr>
        <w:fldChar w:fldCharType="end"/>
      </w:r>
      <w:r w:rsidR="00266C7A" w:rsidRPr="0026358D">
        <w:rPr>
          <w:rFonts w:ascii="Times New Roman" w:hAnsi="Times New Roman" w:cs="Times New Roman"/>
          <w:sz w:val="20"/>
          <w:szCs w:val="20"/>
          <w:lang w:val="en-GB"/>
        </w:rPr>
        <w:t>Note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: Std. Error is the standard error of the estimate, z value is the value of the Z test, Pr(&gt;|z|) is the P-value associated with the test. 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The control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treatment was the reference level for the treatment test and Lu</w:t>
      </w:r>
      <w:r w:rsidR="00D76B56" w:rsidRPr="0043695D">
        <w:rPr>
          <w:rFonts w:ascii="Times New Roman" w:hAnsi="Times New Roman" w:cs="Times New Roman"/>
          <w:sz w:val="20"/>
          <w:szCs w:val="20"/>
          <w:lang w:val="en-GB"/>
        </w:rPr>
        <w:t>go was the reference level for s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ite. </w:t>
      </w:r>
      <w:r w:rsidR="00C1075C" w:rsidRPr="0043695D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S</w:t>
      </w:r>
      <w:r w:rsidR="00D76B56" w:rsidRPr="0043695D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ite Toledo</w:t>
      </w:r>
      <w:r w:rsidR="00D76B5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is the 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odds of sprouting </w:t>
      </w:r>
      <w:proofErr w:type="spellStart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>betwee</w:t>
      </w:r>
      <w:proofErr w:type="spellEnd"/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Toledo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and Lugo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treatment B1 and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>treatment</w:t>
      </w:r>
      <w:r w:rsidR="00D76B56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B2 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difference in the </w:t>
      </w:r>
      <w:proofErr w:type="spellStart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>log</w:t>
      </w:r>
      <w:proofErr w:type="spellEnd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odds of sprouting between the </w:t>
      </w:r>
      <w:proofErr w:type="spellStart"/>
      <w:r w:rsidR="00BA3CB4" w:rsidRPr="0043695D">
        <w:rPr>
          <w:rFonts w:ascii="Times New Roman" w:hAnsi="Times New Roman" w:cs="Times New Roman"/>
          <w:i/>
          <w:sz w:val="20"/>
          <w:szCs w:val="20"/>
          <w:lang w:val="en-GB"/>
        </w:rPr>
        <w:t>Pleurotus</w:t>
      </w:r>
      <w:proofErr w:type="spellEnd"/>
      <w:r w:rsidR="00BA3CB4"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BA3CB4" w:rsidRPr="0043695D">
        <w:rPr>
          <w:rFonts w:ascii="Times New Roman" w:hAnsi="Times New Roman" w:cs="Times New Roman"/>
          <w:i/>
          <w:sz w:val="20"/>
          <w:szCs w:val="20"/>
          <w:lang w:val="en-GB"/>
        </w:rPr>
        <w:t>ostreatus</w:t>
      </w:r>
      <w:proofErr w:type="spellEnd"/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266C7A" w:rsidRPr="0043695D">
        <w:rPr>
          <w:rFonts w:ascii="Times New Roman" w:hAnsi="Times New Roman" w:cs="Times New Roman"/>
          <w:i/>
          <w:sz w:val="20"/>
          <w:szCs w:val="20"/>
          <w:lang w:val="en-GB"/>
        </w:rPr>
        <w:t>Lentinua</w:t>
      </w:r>
      <w:proofErr w:type="spellEnd"/>
      <w:r w:rsidR="00266C7A" w:rsidRPr="0043695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266C7A" w:rsidRPr="0043695D">
        <w:rPr>
          <w:rFonts w:ascii="Times New Roman" w:hAnsi="Times New Roman" w:cs="Times New Roman"/>
          <w:i/>
          <w:sz w:val="20"/>
          <w:szCs w:val="20"/>
          <w:lang w:val="en-GB"/>
        </w:rPr>
        <w:t>edodes</w:t>
      </w:r>
      <w:proofErr w:type="spellEnd"/>
      <w:r w:rsidR="00BA3CB4" w:rsidRPr="0043695D">
        <w:rPr>
          <w:rFonts w:ascii="Times New Roman" w:hAnsi="Times New Roman" w:cs="Times New Roman"/>
          <w:i/>
          <w:sz w:val="20"/>
          <w:szCs w:val="20"/>
          <w:lang w:val="en-GB"/>
        </w:rPr>
        <w:t>,</w:t>
      </w:r>
      <w:r w:rsidR="00266C7A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BA3CB4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and control treatments, respectively. </w:t>
      </w:r>
      <w:r w:rsidR="007D4F4F" w:rsidRPr="0043695D">
        <w:rPr>
          <w:rFonts w:ascii="Times New Roman" w:hAnsi="Times New Roman" w:cs="Times New Roman"/>
          <w:sz w:val="20"/>
          <w:szCs w:val="20"/>
          <w:lang w:val="en-GB"/>
        </w:rPr>
        <w:t>Signif</w:t>
      </w:r>
      <w:r w:rsidR="008B2717" w:rsidRPr="0043695D">
        <w:rPr>
          <w:rFonts w:ascii="Times New Roman" w:hAnsi="Times New Roman" w:cs="Times New Roman"/>
          <w:sz w:val="20"/>
          <w:szCs w:val="20"/>
          <w:lang w:val="en-GB"/>
        </w:rPr>
        <w:t>icance</w:t>
      </w:r>
      <w:r w:rsidR="007D4F4F" w:rsidRPr="0043695D">
        <w:rPr>
          <w:rFonts w:ascii="Times New Roman" w:hAnsi="Times New Roman" w:cs="Times New Roman"/>
          <w:sz w:val="20"/>
          <w:szCs w:val="20"/>
          <w:lang w:val="en-GB"/>
        </w:rPr>
        <w:t xml:space="preserve"> codes:  0 ‘***’. </w:t>
      </w:r>
    </w:p>
    <w:bookmarkEnd w:id="0"/>
    <w:p w:rsidR="00266C7A" w:rsidRPr="0043695D" w:rsidRDefault="00266C7A" w:rsidP="00D76B5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266C7A" w:rsidRPr="0043695D" w:rsidSect="00E80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8EC83E" w16cid:durableId="216EADEF"/>
  <w16cid:commentId w16cid:paraId="1FA89920" w16cid:durableId="216EADF0"/>
  <w16cid:commentId w16cid:paraId="65C16641" w16cid:durableId="216EAE7E"/>
  <w16cid:commentId w16cid:paraId="268BBCC9" w16cid:durableId="216EAED3"/>
  <w16cid:commentId w16cid:paraId="6779FEE0" w16cid:durableId="216EADF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C89"/>
    <w:rsid w:val="00022A99"/>
    <w:rsid w:val="00052E9B"/>
    <w:rsid w:val="000A416F"/>
    <w:rsid w:val="00131752"/>
    <w:rsid w:val="001A795C"/>
    <w:rsid w:val="00241D46"/>
    <w:rsid w:val="0026358D"/>
    <w:rsid w:val="00266C7A"/>
    <w:rsid w:val="003E24E5"/>
    <w:rsid w:val="00401613"/>
    <w:rsid w:val="0043695D"/>
    <w:rsid w:val="004629D6"/>
    <w:rsid w:val="00486865"/>
    <w:rsid w:val="004C01A8"/>
    <w:rsid w:val="00525C89"/>
    <w:rsid w:val="005C7A76"/>
    <w:rsid w:val="00634BFF"/>
    <w:rsid w:val="006A5B2A"/>
    <w:rsid w:val="00774CE0"/>
    <w:rsid w:val="007C0E1E"/>
    <w:rsid w:val="007D4F4F"/>
    <w:rsid w:val="008B2717"/>
    <w:rsid w:val="008B6B23"/>
    <w:rsid w:val="008F6903"/>
    <w:rsid w:val="009711A6"/>
    <w:rsid w:val="009A3007"/>
    <w:rsid w:val="009B2D36"/>
    <w:rsid w:val="00B473CA"/>
    <w:rsid w:val="00BA3CB4"/>
    <w:rsid w:val="00C1075C"/>
    <w:rsid w:val="00C7579D"/>
    <w:rsid w:val="00C9744C"/>
    <w:rsid w:val="00CB0F1E"/>
    <w:rsid w:val="00D76B56"/>
    <w:rsid w:val="00D9583E"/>
    <w:rsid w:val="00E801DA"/>
    <w:rsid w:val="00FB1041"/>
    <w:rsid w:val="00F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25C8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customStyle="1" w:styleId="PlainTable2">
    <w:name w:val="Plain Table 2"/>
    <w:basedOn w:val="Tabellanormale"/>
    <w:uiPriority w:val="42"/>
    <w:rsid w:val="00525C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">
    <w:name w:val="Table Grid"/>
    <w:basedOn w:val="Tabellanormale"/>
    <w:uiPriority w:val="59"/>
    <w:rsid w:val="0026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1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B6B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6B2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6B2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6B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6B2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Attila</cp:lastModifiedBy>
  <cp:revision>26</cp:revision>
  <cp:lastPrinted>2019-06-14T13:38:00Z</cp:lastPrinted>
  <dcterms:created xsi:type="dcterms:W3CDTF">2019-06-14T06:47:00Z</dcterms:created>
  <dcterms:modified xsi:type="dcterms:W3CDTF">2020-01-14T10:40:00Z</dcterms:modified>
</cp:coreProperties>
</file>