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3AA" w:rsidRPr="00AD6A91" w:rsidRDefault="00271B4C" w:rsidP="00AD6A91">
      <w:pPr>
        <w:rPr>
          <w:b/>
          <w:lang w:val="en-GB"/>
        </w:rPr>
      </w:pPr>
      <w:r>
        <w:rPr>
          <w:b/>
          <w:lang w:val="en-GB"/>
        </w:rPr>
        <w:t>Figure 1 -</w:t>
      </w:r>
      <w:r w:rsidR="00D313AA">
        <w:rPr>
          <w:b/>
          <w:lang w:val="en-GB"/>
        </w:rPr>
        <w:t xml:space="preserve"> </w:t>
      </w:r>
      <w:r w:rsidR="00D313AA">
        <w:rPr>
          <w:bCs/>
          <w:lang w:val="en-GB"/>
        </w:rPr>
        <w:t xml:space="preserve">Construction of the alpha-shape of a set of points. (a) α-convex hull of the set of points of occurrence of </w:t>
      </w:r>
      <w:r w:rsidR="00D313AA" w:rsidRPr="00D313AA">
        <w:rPr>
          <w:bCs/>
          <w:i/>
          <w:iCs/>
          <w:lang w:val="en-GB"/>
        </w:rPr>
        <w:t xml:space="preserve">Acer </w:t>
      </w:r>
      <w:proofErr w:type="spellStart"/>
      <w:r w:rsidR="00D313AA" w:rsidRPr="00D313AA">
        <w:rPr>
          <w:bCs/>
          <w:i/>
          <w:iCs/>
          <w:lang w:val="en-GB"/>
        </w:rPr>
        <w:t>hyrcanium</w:t>
      </w:r>
      <w:proofErr w:type="spellEnd"/>
      <w:r w:rsidR="00D313AA">
        <w:rPr>
          <w:bCs/>
          <w:lang w:val="en-GB"/>
        </w:rPr>
        <w:t xml:space="preserve"> subsp. </w:t>
      </w:r>
      <w:proofErr w:type="spellStart"/>
      <w:r w:rsidR="00D313AA" w:rsidRPr="00D313AA">
        <w:rPr>
          <w:bCs/>
          <w:i/>
          <w:iCs/>
          <w:lang w:val="en-GB"/>
        </w:rPr>
        <w:t>tauricolum</w:t>
      </w:r>
      <w:proofErr w:type="spellEnd"/>
      <w:r w:rsidR="00D313AA">
        <w:rPr>
          <w:bCs/>
          <w:lang w:val="en-GB"/>
        </w:rPr>
        <w:t xml:space="preserve"> </w:t>
      </w:r>
      <w:r w:rsidR="002F67B6" w:rsidRPr="00F760E9">
        <w:rPr>
          <w:sz w:val="22"/>
          <w:szCs w:val="22"/>
          <w:lang w:val="en-GB"/>
        </w:rPr>
        <w:t>(</w:t>
      </w:r>
      <w:proofErr w:type="spellStart"/>
      <w:r w:rsidR="002F67B6" w:rsidRPr="00F760E9">
        <w:rPr>
          <w:sz w:val="22"/>
          <w:szCs w:val="22"/>
          <w:lang w:val="en-GB"/>
        </w:rPr>
        <w:t>Boiss</w:t>
      </w:r>
      <w:proofErr w:type="spellEnd"/>
      <w:r w:rsidR="002F67B6" w:rsidRPr="00F760E9">
        <w:rPr>
          <w:sz w:val="22"/>
          <w:szCs w:val="22"/>
          <w:lang w:val="en-GB"/>
        </w:rPr>
        <w:t xml:space="preserve">. &amp; </w:t>
      </w:r>
      <w:proofErr w:type="spellStart"/>
      <w:r w:rsidR="002F67B6" w:rsidRPr="00F760E9">
        <w:rPr>
          <w:sz w:val="22"/>
          <w:szCs w:val="22"/>
          <w:lang w:val="en-GB"/>
        </w:rPr>
        <w:t>Balansa</w:t>
      </w:r>
      <w:proofErr w:type="spellEnd"/>
      <w:r w:rsidR="002F67B6" w:rsidRPr="00F760E9">
        <w:rPr>
          <w:sz w:val="22"/>
          <w:szCs w:val="22"/>
          <w:lang w:val="en-GB"/>
        </w:rPr>
        <w:t xml:space="preserve">) </w:t>
      </w:r>
      <w:proofErr w:type="spellStart"/>
      <w:r w:rsidR="002F67B6" w:rsidRPr="00F760E9">
        <w:rPr>
          <w:sz w:val="22"/>
          <w:szCs w:val="22"/>
          <w:lang w:val="en-GB"/>
        </w:rPr>
        <w:t>Yalt</w:t>
      </w:r>
      <w:proofErr w:type="spellEnd"/>
      <w:r w:rsidR="002F67B6" w:rsidRPr="00F760E9">
        <w:rPr>
          <w:sz w:val="22"/>
          <w:szCs w:val="22"/>
          <w:lang w:val="en-GB"/>
        </w:rPr>
        <w:t>.</w:t>
      </w:r>
      <w:r w:rsidR="002F67B6">
        <w:rPr>
          <w:sz w:val="22"/>
          <w:szCs w:val="22"/>
          <w:lang w:val="en-GB"/>
        </w:rPr>
        <w:t xml:space="preserve"> </w:t>
      </w:r>
      <w:r w:rsidR="00D313AA">
        <w:rPr>
          <w:bCs/>
          <w:lang w:val="en-GB"/>
        </w:rPr>
        <w:t>using α</w:t>
      </w:r>
      <w:r w:rsidR="00AD6A91">
        <w:rPr>
          <w:bCs/>
          <w:lang w:val="en-GB"/>
        </w:rPr>
        <w:t xml:space="preserve"> = 50 km. T</w:t>
      </w:r>
      <w:r w:rsidR="008B1020">
        <w:rPr>
          <w:bCs/>
          <w:lang w:val="en-GB"/>
        </w:rPr>
        <w:t xml:space="preserve">he balls shown are those connecting pairs of points that are α-neighbours. The α-convex hull is the internal area </w:t>
      </w:r>
      <w:r w:rsidR="00AD6A91">
        <w:rPr>
          <w:bCs/>
          <w:lang w:val="en-GB"/>
        </w:rPr>
        <w:t xml:space="preserve">(in orange) </w:t>
      </w:r>
      <w:r w:rsidR="008B1020">
        <w:rPr>
          <w:bCs/>
          <w:lang w:val="en-GB"/>
        </w:rPr>
        <w:t xml:space="preserve">delimited by these balls. (b) Alpha-shape obtained from the α-convex hull of </w:t>
      </w:r>
      <w:r w:rsidR="008B1020" w:rsidRPr="00D313AA">
        <w:rPr>
          <w:bCs/>
          <w:i/>
          <w:iCs/>
          <w:lang w:val="en-GB"/>
        </w:rPr>
        <w:t xml:space="preserve">Acer </w:t>
      </w:r>
      <w:proofErr w:type="spellStart"/>
      <w:r w:rsidR="008B1020" w:rsidRPr="00D313AA">
        <w:rPr>
          <w:bCs/>
          <w:i/>
          <w:iCs/>
          <w:lang w:val="en-GB"/>
        </w:rPr>
        <w:t>hyrcanium</w:t>
      </w:r>
      <w:proofErr w:type="spellEnd"/>
      <w:r w:rsidR="008B1020">
        <w:rPr>
          <w:bCs/>
          <w:lang w:val="en-GB"/>
        </w:rPr>
        <w:t xml:space="preserve"> subsp. </w:t>
      </w:r>
      <w:proofErr w:type="spellStart"/>
      <w:r w:rsidR="002F67B6">
        <w:rPr>
          <w:bCs/>
          <w:i/>
          <w:iCs/>
          <w:lang w:val="en-GB"/>
        </w:rPr>
        <w:t>t</w:t>
      </w:r>
      <w:r w:rsidR="008B1020" w:rsidRPr="00D313AA">
        <w:rPr>
          <w:bCs/>
          <w:i/>
          <w:iCs/>
          <w:lang w:val="en-GB"/>
        </w:rPr>
        <w:t>auricolum</w:t>
      </w:r>
      <w:proofErr w:type="spellEnd"/>
      <w:r w:rsidR="002F67B6">
        <w:rPr>
          <w:bCs/>
          <w:i/>
          <w:iCs/>
          <w:lang w:val="en-GB"/>
        </w:rPr>
        <w:t xml:space="preserve"> </w:t>
      </w:r>
      <w:r w:rsidR="002F67B6" w:rsidRPr="00F760E9">
        <w:rPr>
          <w:sz w:val="22"/>
          <w:szCs w:val="22"/>
          <w:lang w:val="en-GB"/>
        </w:rPr>
        <w:t>(</w:t>
      </w:r>
      <w:proofErr w:type="spellStart"/>
      <w:r w:rsidR="002F67B6" w:rsidRPr="00F760E9">
        <w:rPr>
          <w:sz w:val="22"/>
          <w:szCs w:val="22"/>
          <w:lang w:val="en-GB"/>
        </w:rPr>
        <w:t>Boiss</w:t>
      </w:r>
      <w:proofErr w:type="spellEnd"/>
      <w:r w:rsidR="002F67B6" w:rsidRPr="00F760E9">
        <w:rPr>
          <w:sz w:val="22"/>
          <w:szCs w:val="22"/>
          <w:lang w:val="en-GB"/>
        </w:rPr>
        <w:t xml:space="preserve">. &amp; </w:t>
      </w:r>
      <w:proofErr w:type="spellStart"/>
      <w:r w:rsidR="002F67B6" w:rsidRPr="00F760E9">
        <w:rPr>
          <w:sz w:val="22"/>
          <w:szCs w:val="22"/>
          <w:lang w:val="en-GB"/>
        </w:rPr>
        <w:t>Balansa</w:t>
      </w:r>
      <w:proofErr w:type="spellEnd"/>
      <w:r w:rsidR="002F67B6" w:rsidRPr="00F760E9">
        <w:rPr>
          <w:sz w:val="22"/>
          <w:szCs w:val="22"/>
          <w:lang w:val="en-GB"/>
        </w:rPr>
        <w:t xml:space="preserve">) </w:t>
      </w:r>
      <w:proofErr w:type="spellStart"/>
      <w:r w:rsidR="002F67B6" w:rsidRPr="00F760E9">
        <w:rPr>
          <w:sz w:val="22"/>
          <w:szCs w:val="22"/>
          <w:lang w:val="en-GB"/>
        </w:rPr>
        <w:t>Yalt</w:t>
      </w:r>
      <w:proofErr w:type="spellEnd"/>
      <w:r w:rsidR="002F67B6" w:rsidRPr="00F760E9">
        <w:rPr>
          <w:sz w:val="22"/>
          <w:szCs w:val="22"/>
          <w:lang w:val="en-GB"/>
        </w:rPr>
        <w:t>.</w:t>
      </w:r>
      <w:r w:rsidR="008B1020">
        <w:rPr>
          <w:bCs/>
          <w:lang w:val="en-GB"/>
        </w:rPr>
        <w:t xml:space="preserve"> The edges of the shape </w:t>
      </w:r>
      <w:r w:rsidR="00AD6A91">
        <w:rPr>
          <w:bCs/>
          <w:lang w:val="en-GB"/>
        </w:rPr>
        <w:t xml:space="preserve">(in red) </w:t>
      </w:r>
      <w:r w:rsidR="008B1020">
        <w:rPr>
          <w:bCs/>
          <w:lang w:val="en-GB"/>
        </w:rPr>
        <w:t xml:space="preserve">are the segments that connect the nodes of the hull. Two points are α-neighbours if there is a ball of radius α with these </w:t>
      </w:r>
      <w:r w:rsidR="00AD6A91">
        <w:rPr>
          <w:bCs/>
          <w:lang w:val="en-GB"/>
        </w:rPr>
        <w:t xml:space="preserve">two </w:t>
      </w:r>
      <w:r w:rsidR="008B1020">
        <w:rPr>
          <w:bCs/>
          <w:lang w:val="en-GB"/>
        </w:rPr>
        <w:t>points on its boundary and no other point inside the ball</w:t>
      </w:r>
      <w:r w:rsidR="00872022">
        <w:rPr>
          <w:bCs/>
          <w:lang w:val="en-GB"/>
        </w:rPr>
        <w:t>.</w:t>
      </w:r>
      <w:r w:rsidR="008B1020">
        <w:rPr>
          <w:bCs/>
          <w:lang w:val="en-GB"/>
        </w:rPr>
        <w:t xml:space="preserve"> </w:t>
      </w:r>
      <w:r w:rsidR="00872022">
        <w:rPr>
          <w:bCs/>
          <w:lang w:val="en-GB"/>
        </w:rPr>
        <w:t>P</w:t>
      </w:r>
      <w:r w:rsidR="00AD6A91">
        <w:rPr>
          <w:bCs/>
          <w:lang w:val="en-GB"/>
        </w:rPr>
        <w:t xml:space="preserve">oints </w:t>
      </w:r>
      <w:r w:rsidR="00AD6A91" w:rsidRPr="00AD6A91">
        <w:rPr>
          <w:bCs/>
          <w:i/>
          <w:iCs/>
          <w:lang w:val="en-GB"/>
        </w:rPr>
        <w:t>A</w:t>
      </w:r>
      <w:r w:rsidR="00AD6A91">
        <w:rPr>
          <w:bCs/>
          <w:lang w:val="en-GB"/>
        </w:rPr>
        <w:t xml:space="preserve"> and </w:t>
      </w:r>
      <w:r w:rsidR="00AD6A91" w:rsidRPr="00AD6A91">
        <w:rPr>
          <w:bCs/>
          <w:i/>
          <w:iCs/>
          <w:lang w:val="en-GB"/>
        </w:rPr>
        <w:t>B</w:t>
      </w:r>
      <w:r w:rsidR="00AD6A91">
        <w:rPr>
          <w:bCs/>
          <w:lang w:val="en-GB"/>
        </w:rPr>
        <w:t xml:space="preserve"> in (c) are not α-neighbours because the distance between them is greater than 2α, so no ball of radius α can connect them</w:t>
      </w:r>
      <w:r w:rsidR="00872022">
        <w:rPr>
          <w:bCs/>
          <w:lang w:val="en-GB"/>
        </w:rPr>
        <w:t>.</w:t>
      </w:r>
      <w:r w:rsidR="00AD6A91">
        <w:rPr>
          <w:bCs/>
          <w:lang w:val="en-GB"/>
        </w:rPr>
        <w:t xml:space="preserve"> </w:t>
      </w:r>
      <w:r w:rsidR="00872022">
        <w:rPr>
          <w:bCs/>
          <w:lang w:val="en-GB"/>
        </w:rPr>
        <w:t>P</w:t>
      </w:r>
      <w:r w:rsidR="00AD6A91">
        <w:rPr>
          <w:bCs/>
          <w:lang w:val="en-GB"/>
        </w:rPr>
        <w:t xml:space="preserve">oints </w:t>
      </w:r>
      <w:r w:rsidR="00AD6A91" w:rsidRPr="00AD6A91">
        <w:rPr>
          <w:bCs/>
          <w:i/>
          <w:iCs/>
          <w:lang w:val="en-GB"/>
        </w:rPr>
        <w:t>A</w:t>
      </w:r>
      <w:r w:rsidR="00AD6A91">
        <w:rPr>
          <w:bCs/>
          <w:lang w:val="en-GB"/>
        </w:rPr>
        <w:t xml:space="preserve"> and </w:t>
      </w:r>
      <w:r w:rsidR="00AD6A91" w:rsidRPr="00AD6A91">
        <w:rPr>
          <w:bCs/>
          <w:i/>
          <w:iCs/>
          <w:lang w:val="en-GB"/>
        </w:rPr>
        <w:t>B</w:t>
      </w:r>
      <w:r w:rsidR="00AD6A91">
        <w:rPr>
          <w:bCs/>
          <w:lang w:val="en-GB"/>
        </w:rPr>
        <w:t xml:space="preserve"> in (b) are not α-neighbours because the two balls of radius α that connect them have some other point inside</w:t>
      </w:r>
      <w:r w:rsidR="00872022">
        <w:rPr>
          <w:bCs/>
          <w:lang w:val="en-GB"/>
        </w:rPr>
        <w:t>.</w:t>
      </w:r>
      <w:r w:rsidR="00AD6A91">
        <w:rPr>
          <w:bCs/>
          <w:lang w:val="en-GB"/>
        </w:rPr>
        <w:t xml:space="preserve"> </w:t>
      </w:r>
      <w:r w:rsidR="00872022">
        <w:rPr>
          <w:bCs/>
          <w:lang w:val="en-GB"/>
        </w:rPr>
        <w:t>P</w:t>
      </w:r>
      <w:r w:rsidR="00AD6A91">
        <w:rPr>
          <w:bCs/>
          <w:lang w:val="en-GB"/>
        </w:rPr>
        <w:t xml:space="preserve">oints </w:t>
      </w:r>
      <w:r w:rsidR="00AD6A91" w:rsidRPr="00AD6A91">
        <w:rPr>
          <w:bCs/>
          <w:i/>
          <w:iCs/>
          <w:lang w:val="en-GB"/>
        </w:rPr>
        <w:t>A</w:t>
      </w:r>
      <w:r w:rsidR="00AD6A91">
        <w:rPr>
          <w:bCs/>
          <w:lang w:val="en-GB"/>
        </w:rPr>
        <w:t xml:space="preserve"> and </w:t>
      </w:r>
      <w:r w:rsidR="00AD6A91" w:rsidRPr="00AD6A91">
        <w:rPr>
          <w:bCs/>
          <w:i/>
          <w:iCs/>
          <w:lang w:val="en-GB"/>
        </w:rPr>
        <w:t>B</w:t>
      </w:r>
      <w:r w:rsidR="00AD6A91">
        <w:rPr>
          <w:bCs/>
          <w:lang w:val="en-GB"/>
        </w:rPr>
        <w:t xml:space="preserve"> in (c) are α-neighbours because the ball of radius α highlighted in yellow does not contain any other point.</w:t>
      </w:r>
    </w:p>
    <w:p w:rsidR="00D313AA" w:rsidRDefault="00D313AA" w:rsidP="00547406">
      <w:pPr>
        <w:rPr>
          <w:bCs/>
          <w:lang w:val="en-GB"/>
        </w:rPr>
      </w:pPr>
    </w:p>
    <w:p w:rsidR="00D313AA" w:rsidRPr="00D313AA" w:rsidRDefault="00D313AA" w:rsidP="00547406">
      <w:pPr>
        <w:rPr>
          <w:bCs/>
          <w:lang w:val="en-GB"/>
        </w:rPr>
      </w:pPr>
    </w:p>
    <w:p w:rsidR="00547406" w:rsidRPr="00124011" w:rsidRDefault="00547406" w:rsidP="00547406">
      <w:pPr>
        <w:rPr>
          <w:lang w:val="en-GB"/>
        </w:rPr>
      </w:pPr>
      <w:r w:rsidRPr="00124011">
        <w:rPr>
          <w:b/>
          <w:lang w:val="en-GB"/>
        </w:rPr>
        <w:t xml:space="preserve">Figure </w:t>
      </w:r>
      <w:r w:rsidR="00D313AA">
        <w:rPr>
          <w:b/>
          <w:lang w:val="en-GB"/>
        </w:rPr>
        <w:t>2</w:t>
      </w:r>
      <w:r w:rsidR="00271B4C">
        <w:rPr>
          <w:b/>
          <w:lang w:val="en-GB"/>
        </w:rPr>
        <w:t xml:space="preserve"> -</w:t>
      </w:r>
      <w:r w:rsidRPr="00124011">
        <w:rPr>
          <w:lang w:val="en-GB"/>
        </w:rPr>
        <w:t xml:space="preserve"> Distribution map of </w:t>
      </w:r>
      <w:proofErr w:type="spellStart"/>
      <w:r w:rsidRPr="00124011">
        <w:rPr>
          <w:i/>
          <w:lang w:val="en-GB"/>
        </w:rPr>
        <w:t>Pinus</w:t>
      </w:r>
      <w:proofErr w:type="spellEnd"/>
      <w:r w:rsidRPr="00124011">
        <w:rPr>
          <w:i/>
          <w:lang w:val="en-GB"/>
        </w:rPr>
        <w:t xml:space="preserve"> </w:t>
      </w:r>
      <w:proofErr w:type="spellStart"/>
      <w:r w:rsidRPr="00124011">
        <w:rPr>
          <w:i/>
          <w:lang w:val="en-GB"/>
        </w:rPr>
        <w:t>halepensis</w:t>
      </w:r>
      <w:proofErr w:type="spellEnd"/>
      <w:r w:rsidRPr="00124011">
        <w:rPr>
          <w:lang w:val="en-GB"/>
        </w:rPr>
        <w:t xml:space="preserve"> </w:t>
      </w:r>
      <w:r w:rsidR="002F67B6">
        <w:rPr>
          <w:lang w:val="en-GB"/>
        </w:rPr>
        <w:t xml:space="preserve">Mill. </w:t>
      </w:r>
      <w:r w:rsidRPr="00124011">
        <w:rPr>
          <w:lang w:val="en-GB"/>
        </w:rPr>
        <w:t>showing the different types of data collected: countries of native distribution (hatched green polygons); areas of native distribution with high (blue filled polygons), medium (light blue polygons), or low (green polygons) level of spatial details; points of occurrence represented either as points (blue points) or as the cells of the Common European Chorological Grid Reference System where the points were found (blue unfilled polygons).</w:t>
      </w:r>
    </w:p>
    <w:p w:rsidR="00124011" w:rsidRPr="00124011" w:rsidRDefault="00124011" w:rsidP="00547406">
      <w:pPr>
        <w:rPr>
          <w:lang w:val="en-GB"/>
        </w:rPr>
      </w:pPr>
    </w:p>
    <w:p w:rsidR="005523E2" w:rsidRPr="00124011" w:rsidRDefault="005523E2">
      <w:pPr>
        <w:rPr>
          <w:lang w:val="en-GB"/>
        </w:rPr>
      </w:pPr>
    </w:p>
    <w:p w:rsidR="0044385E" w:rsidRPr="00124011" w:rsidRDefault="0044385E" w:rsidP="0044385E">
      <w:pPr>
        <w:rPr>
          <w:lang w:val="en-GB"/>
        </w:rPr>
      </w:pPr>
      <w:r w:rsidRPr="00124011">
        <w:rPr>
          <w:b/>
          <w:lang w:val="en-GB"/>
        </w:rPr>
        <w:t xml:space="preserve">Figure </w:t>
      </w:r>
      <w:r w:rsidR="00D313AA">
        <w:rPr>
          <w:b/>
          <w:lang w:val="en-GB"/>
        </w:rPr>
        <w:t>3</w:t>
      </w:r>
      <w:r w:rsidR="00271B4C">
        <w:rPr>
          <w:b/>
          <w:lang w:val="en-GB"/>
        </w:rPr>
        <w:t xml:space="preserve"> -</w:t>
      </w:r>
      <w:r w:rsidRPr="00124011">
        <w:rPr>
          <w:lang w:val="en-GB"/>
        </w:rPr>
        <w:t xml:space="preserve"> Alpha-shape (orange polygon) of points of occurrence of </w:t>
      </w:r>
      <w:r w:rsidRPr="00124011">
        <w:rPr>
          <w:i/>
          <w:lang w:val="en-GB"/>
        </w:rPr>
        <w:t xml:space="preserve">Acer </w:t>
      </w:r>
      <w:proofErr w:type="spellStart"/>
      <w:r w:rsidRPr="00124011">
        <w:rPr>
          <w:i/>
          <w:lang w:val="en-GB"/>
        </w:rPr>
        <w:t>hyrcanum</w:t>
      </w:r>
      <w:proofErr w:type="spellEnd"/>
      <w:r w:rsidRPr="00124011">
        <w:rPr>
          <w:i/>
          <w:lang w:val="en-GB"/>
        </w:rPr>
        <w:t xml:space="preserve"> </w:t>
      </w:r>
      <w:r w:rsidRPr="00124011">
        <w:rPr>
          <w:lang w:val="en-GB"/>
        </w:rPr>
        <w:t xml:space="preserve">subsp. </w:t>
      </w:r>
      <w:proofErr w:type="spellStart"/>
      <w:r w:rsidRPr="00124011">
        <w:rPr>
          <w:i/>
          <w:lang w:val="en-GB"/>
        </w:rPr>
        <w:t>tauricolum</w:t>
      </w:r>
      <w:proofErr w:type="spellEnd"/>
      <w:r w:rsidRPr="00124011">
        <w:rPr>
          <w:lang w:val="en-GB"/>
        </w:rPr>
        <w:t xml:space="preserve"> </w:t>
      </w:r>
      <w:r w:rsidR="002F67B6" w:rsidRPr="00F760E9">
        <w:rPr>
          <w:sz w:val="22"/>
          <w:szCs w:val="22"/>
          <w:lang w:val="en-GB"/>
        </w:rPr>
        <w:t>(</w:t>
      </w:r>
      <w:proofErr w:type="spellStart"/>
      <w:r w:rsidR="002F67B6" w:rsidRPr="00F760E9">
        <w:rPr>
          <w:sz w:val="22"/>
          <w:szCs w:val="22"/>
          <w:lang w:val="en-GB"/>
        </w:rPr>
        <w:t>Boiss</w:t>
      </w:r>
      <w:proofErr w:type="spellEnd"/>
      <w:r w:rsidR="002F67B6" w:rsidRPr="00F760E9">
        <w:rPr>
          <w:sz w:val="22"/>
          <w:szCs w:val="22"/>
          <w:lang w:val="en-GB"/>
        </w:rPr>
        <w:t xml:space="preserve">. &amp; </w:t>
      </w:r>
      <w:proofErr w:type="spellStart"/>
      <w:r w:rsidR="002F67B6" w:rsidRPr="00F760E9">
        <w:rPr>
          <w:sz w:val="22"/>
          <w:szCs w:val="22"/>
          <w:lang w:val="en-GB"/>
        </w:rPr>
        <w:t>Balansa</w:t>
      </w:r>
      <w:proofErr w:type="spellEnd"/>
      <w:r w:rsidR="002F67B6" w:rsidRPr="00F760E9">
        <w:rPr>
          <w:sz w:val="22"/>
          <w:szCs w:val="22"/>
          <w:lang w:val="en-GB"/>
        </w:rPr>
        <w:t xml:space="preserve">) </w:t>
      </w:r>
      <w:proofErr w:type="spellStart"/>
      <w:r w:rsidR="002F67B6" w:rsidRPr="00F760E9">
        <w:rPr>
          <w:sz w:val="22"/>
          <w:szCs w:val="22"/>
          <w:lang w:val="en-GB"/>
        </w:rPr>
        <w:t>Yalt</w:t>
      </w:r>
      <w:proofErr w:type="spellEnd"/>
      <w:r w:rsidR="002F67B6" w:rsidRPr="00F760E9">
        <w:rPr>
          <w:sz w:val="22"/>
          <w:szCs w:val="22"/>
          <w:lang w:val="en-GB"/>
        </w:rPr>
        <w:t>.</w:t>
      </w:r>
      <w:r w:rsidR="002F67B6">
        <w:rPr>
          <w:sz w:val="22"/>
          <w:szCs w:val="22"/>
          <w:lang w:val="en-GB"/>
        </w:rPr>
        <w:t xml:space="preserve"> </w:t>
      </w:r>
      <w:r w:rsidRPr="00124011">
        <w:rPr>
          <w:lang w:val="en-GB"/>
        </w:rPr>
        <w:t>using α values ranging from 30 to 100 km. Points of occurrence included in the alpha-shape are shown as black dots while points of occurrence that remain isolated points (outside the alpha-shape) are shown as red dots. The UTM zone is 36S.</w:t>
      </w:r>
    </w:p>
    <w:p w:rsidR="00124011" w:rsidRPr="00124011" w:rsidRDefault="00124011" w:rsidP="0044385E">
      <w:pPr>
        <w:rPr>
          <w:lang w:val="en-GB"/>
        </w:rPr>
      </w:pPr>
    </w:p>
    <w:p w:rsidR="005523E2" w:rsidRPr="00124011" w:rsidRDefault="005523E2">
      <w:pPr>
        <w:rPr>
          <w:lang w:val="en-GB"/>
        </w:rPr>
      </w:pPr>
    </w:p>
    <w:p w:rsidR="0069350D" w:rsidRPr="00124011" w:rsidRDefault="0069350D" w:rsidP="0069350D">
      <w:pPr>
        <w:rPr>
          <w:lang w:val="en-GB"/>
        </w:rPr>
      </w:pPr>
      <w:r w:rsidRPr="00124011">
        <w:rPr>
          <w:b/>
          <w:lang w:val="en-GB"/>
        </w:rPr>
        <w:t xml:space="preserve">Figure </w:t>
      </w:r>
      <w:r w:rsidR="00D313AA">
        <w:rPr>
          <w:b/>
          <w:lang w:val="en-GB"/>
        </w:rPr>
        <w:t>4</w:t>
      </w:r>
      <w:r w:rsidR="00271B4C">
        <w:rPr>
          <w:b/>
          <w:lang w:val="en-GB"/>
        </w:rPr>
        <w:t xml:space="preserve"> -</w:t>
      </w:r>
      <w:r w:rsidRPr="00124011">
        <w:rPr>
          <w:b/>
          <w:lang w:val="en-GB"/>
        </w:rPr>
        <w:t xml:space="preserve"> </w:t>
      </w:r>
      <w:r w:rsidRPr="00124011">
        <w:rPr>
          <w:lang w:val="en-GB"/>
        </w:rPr>
        <w:t xml:space="preserve">Distribution maps of 24 key Mediterranean and European forest tree species based on the compilation of published data. Green </w:t>
      </w:r>
      <w:r w:rsidR="00872022">
        <w:rPr>
          <w:lang w:val="en-GB"/>
        </w:rPr>
        <w:t>areas show</w:t>
      </w:r>
      <w:r w:rsidRPr="00124011">
        <w:rPr>
          <w:lang w:val="en-GB"/>
        </w:rPr>
        <w:t xml:space="preserve"> the countries (or regions within countries) of native distrib</w:t>
      </w:r>
      <w:r w:rsidR="00872022">
        <w:rPr>
          <w:lang w:val="en-GB"/>
        </w:rPr>
        <w:t>ution of the species. Blue areas show</w:t>
      </w:r>
      <w:r w:rsidRPr="00124011">
        <w:rPr>
          <w:lang w:val="en-GB"/>
        </w:rPr>
        <w:t xml:space="preserve"> the presumed area of native distribution, where localities of known distribution have been merged into an area using alpha-shapes with α = 50 km.</w:t>
      </w:r>
      <w:bookmarkStart w:id="0" w:name="_GoBack"/>
      <w:bookmarkEnd w:id="0"/>
    </w:p>
    <w:p w:rsidR="0069350D" w:rsidRPr="00124011" w:rsidRDefault="0069350D" w:rsidP="0069350D">
      <w:pPr>
        <w:rPr>
          <w:lang w:val="en-GB"/>
        </w:rPr>
      </w:pPr>
    </w:p>
    <w:sectPr w:rsidR="0069350D" w:rsidRPr="00124011" w:rsidSect="00271B4C">
      <w:pgSz w:w="11905" w:h="16837"/>
      <w:pgMar w:top="1417" w:right="1417" w:bottom="1417" w:left="141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99C" w:rsidRDefault="00D9599C">
      <w:r>
        <w:separator/>
      </w:r>
    </w:p>
  </w:endnote>
  <w:endnote w:type="continuationSeparator" w:id="0">
    <w:p w:rsidR="00D9599C" w:rsidRDefault="00D95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99C" w:rsidRDefault="00D9599C">
      <w:r>
        <w:separator/>
      </w:r>
    </w:p>
  </w:footnote>
  <w:footnote w:type="continuationSeparator" w:id="0">
    <w:p w:rsidR="00D9599C" w:rsidRDefault="00D95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D80"/>
    <w:multiLevelType w:val="multilevel"/>
    <w:tmpl w:val="534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85BC6"/>
    <w:multiLevelType w:val="multilevel"/>
    <w:tmpl w:val="1F5EDDFC"/>
    <w:lvl w:ilvl="0">
      <w:start w:val="1"/>
      <w:numFmt w:val="lowerRoman"/>
      <w:lvlText w:val="(%1)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isplayBackgroundShape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3E2"/>
    <w:rsid w:val="00014331"/>
    <w:rsid w:val="00020FE1"/>
    <w:rsid w:val="00036AF7"/>
    <w:rsid w:val="000409D6"/>
    <w:rsid w:val="0004720F"/>
    <w:rsid w:val="00057455"/>
    <w:rsid w:val="000830EC"/>
    <w:rsid w:val="00086656"/>
    <w:rsid w:val="000C5AC8"/>
    <w:rsid w:val="000D5324"/>
    <w:rsid w:val="000E5EA1"/>
    <w:rsid w:val="000F5BF2"/>
    <w:rsid w:val="0010035E"/>
    <w:rsid w:val="00124011"/>
    <w:rsid w:val="00140EF0"/>
    <w:rsid w:val="001544F7"/>
    <w:rsid w:val="001605D7"/>
    <w:rsid w:val="00163BBE"/>
    <w:rsid w:val="001665EC"/>
    <w:rsid w:val="00166C94"/>
    <w:rsid w:val="00167AD7"/>
    <w:rsid w:val="001743CA"/>
    <w:rsid w:val="001B23DA"/>
    <w:rsid w:val="001C17CB"/>
    <w:rsid w:val="00214FA1"/>
    <w:rsid w:val="00234989"/>
    <w:rsid w:val="00241299"/>
    <w:rsid w:val="00246F49"/>
    <w:rsid w:val="00270049"/>
    <w:rsid w:val="00271B4C"/>
    <w:rsid w:val="002B365B"/>
    <w:rsid w:val="002B7A62"/>
    <w:rsid w:val="002F67B6"/>
    <w:rsid w:val="003010BF"/>
    <w:rsid w:val="00305D69"/>
    <w:rsid w:val="00313E7C"/>
    <w:rsid w:val="0031681B"/>
    <w:rsid w:val="00322611"/>
    <w:rsid w:val="00344B13"/>
    <w:rsid w:val="003F143A"/>
    <w:rsid w:val="003F42EB"/>
    <w:rsid w:val="00402C95"/>
    <w:rsid w:val="00417AEB"/>
    <w:rsid w:val="0044385E"/>
    <w:rsid w:val="0048593C"/>
    <w:rsid w:val="004A54C7"/>
    <w:rsid w:val="004A5FD2"/>
    <w:rsid w:val="004C5D9B"/>
    <w:rsid w:val="004F06A9"/>
    <w:rsid w:val="00516018"/>
    <w:rsid w:val="00547406"/>
    <w:rsid w:val="00547CD4"/>
    <w:rsid w:val="005523E2"/>
    <w:rsid w:val="00566A23"/>
    <w:rsid w:val="005A160D"/>
    <w:rsid w:val="005B1C57"/>
    <w:rsid w:val="005E0740"/>
    <w:rsid w:val="005E0AF4"/>
    <w:rsid w:val="00631F8E"/>
    <w:rsid w:val="0064744D"/>
    <w:rsid w:val="006479BB"/>
    <w:rsid w:val="0069350D"/>
    <w:rsid w:val="006A2F5E"/>
    <w:rsid w:val="006B01DA"/>
    <w:rsid w:val="006B3E85"/>
    <w:rsid w:val="006C016B"/>
    <w:rsid w:val="00714861"/>
    <w:rsid w:val="00770C1B"/>
    <w:rsid w:val="007A47B8"/>
    <w:rsid w:val="007B0876"/>
    <w:rsid w:val="007F78E7"/>
    <w:rsid w:val="00807BC6"/>
    <w:rsid w:val="008113E6"/>
    <w:rsid w:val="008170F8"/>
    <w:rsid w:val="00822E02"/>
    <w:rsid w:val="0082703E"/>
    <w:rsid w:val="00850910"/>
    <w:rsid w:val="00872022"/>
    <w:rsid w:val="008801B3"/>
    <w:rsid w:val="008954AB"/>
    <w:rsid w:val="008A753E"/>
    <w:rsid w:val="008B1020"/>
    <w:rsid w:val="008D2330"/>
    <w:rsid w:val="0094593C"/>
    <w:rsid w:val="00951011"/>
    <w:rsid w:val="009525F0"/>
    <w:rsid w:val="00960655"/>
    <w:rsid w:val="009A119E"/>
    <w:rsid w:val="009A3C16"/>
    <w:rsid w:val="009B0C1C"/>
    <w:rsid w:val="009E0A06"/>
    <w:rsid w:val="009E2D5E"/>
    <w:rsid w:val="009E4662"/>
    <w:rsid w:val="009F2C3D"/>
    <w:rsid w:val="009F79A1"/>
    <w:rsid w:val="00A00D23"/>
    <w:rsid w:val="00A00D8E"/>
    <w:rsid w:val="00A35FA2"/>
    <w:rsid w:val="00A36584"/>
    <w:rsid w:val="00A4069F"/>
    <w:rsid w:val="00A44BC9"/>
    <w:rsid w:val="00A5290D"/>
    <w:rsid w:val="00A661E7"/>
    <w:rsid w:val="00A74F10"/>
    <w:rsid w:val="00A85289"/>
    <w:rsid w:val="00A96671"/>
    <w:rsid w:val="00AA05B3"/>
    <w:rsid w:val="00AB6200"/>
    <w:rsid w:val="00AB7E41"/>
    <w:rsid w:val="00AC606F"/>
    <w:rsid w:val="00AD6A91"/>
    <w:rsid w:val="00AF74EA"/>
    <w:rsid w:val="00B1017A"/>
    <w:rsid w:val="00B131A7"/>
    <w:rsid w:val="00B22767"/>
    <w:rsid w:val="00B31800"/>
    <w:rsid w:val="00B452B9"/>
    <w:rsid w:val="00B474E0"/>
    <w:rsid w:val="00B65A1C"/>
    <w:rsid w:val="00B77575"/>
    <w:rsid w:val="00B8675F"/>
    <w:rsid w:val="00B93C4E"/>
    <w:rsid w:val="00BF3A9A"/>
    <w:rsid w:val="00C034E5"/>
    <w:rsid w:val="00C17FB6"/>
    <w:rsid w:val="00C30F2F"/>
    <w:rsid w:val="00C651A7"/>
    <w:rsid w:val="00C74160"/>
    <w:rsid w:val="00C813DD"/>
    <w:rsid w:val="00C85507"/>
    <w:rsid w:val="00CA1B74"/>
    <w:rsid w:val="00D313AA"/>
    <w:rsid w:val="00D4693E"/>
    <w:rsid w:val="00D579E0"/>
    <w:rsid w:val="00D636AA"/>
    <w:rsid w:val="00D857AC"/>
    <w:rsid w:val="00D9599C"/>
    <w:rsid w:val="00DA3AA3"/>
    <w:rsid w:val="00DC3FB7"/>
    <w:rsid w:val="00DE0D15"/>
    <w:rsid w:val="00DF47C2"/>
    <w:rsid w:val="00E1069E"/>
    <w:rsid w:val="00E11398"/>
    <w:rsid w:val="00E548E3"/>
    <w:rsid w:val="00EA4649"/>
    <w:rsid w:val="00ED31D7"/>
    <w:rsid w:val="00EE2027"/>
    <w:rsid w:val="00EE25E0"/>
    <w:rsid w:val="00EE3964"/>
    <w:rsid w:val="00F1278D"/>
    <w:rsid w:val="00F14DD1"/>
    <w:rsid w:val="00F178B0"/>
    <w:rsid w:val="00F2252D"/>
    <w:rsid w:val="00F42F16"/>
    <w:rsid w:val="00F63D06"/>
    <w:rsid w:val="00F73974"/>
    <w:rsid w:val="00F760E9"/>
    <w:rsid w:val="00F84EE0"/>
    <w:rsid w:val="00F953A4"/>
    <w:rsid w:val="00FA3649"/>
    <w:rsid w:val="00FA43BE"/>
    <w:rsid w:val="00FC1B23"/>
    <w:rsid w:val="00FC44FE"/>
    <w:rsid w:val="00FD0BD8"/>
    <w:rsid w:val="00FD4683"/>
    <w:rsid w:val="00FF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A119E"/>
  </w:style>
  <w:style w:type="paragraph" w:styleId="Titolo1">
    <w:name w:val="heading 1"/>
    <w:basedOn w:val="Normale"/>
    <w:next w:val="Normale"/>
    <w:rsid w:val="009A119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9A119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A119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9A119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rsid w:val="009A119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9A119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9A1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9A119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9A119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A119E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9A11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9A11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119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119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9A119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6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4649"/>
    <w:rPr>
      <w:color w:val="0563C1" w:themeColor="hyperlink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F178B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09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09D6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4331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801B3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68E45-88BC-4791-AE8A-2FAADC0A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Fady</dc:creator>
  <cp:lastModifiedBy>Attila</cp:lastModifiedBy>
  <cp:revision>9</cp:revision>
  <dcterms:created xsi:type="dcterms:W3CDTF">2019-07-08T15:12:00Z</dcterms:created>
  <dcterms:modified xsi:type="dcterms:W3CDTF">2019-11-08T11:50:00Z</dcterms:modified>
</cp:coreProperties>
</file>