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2B" w:rsidRPr="00B20FF0" w:rsidRDefault="00705C2B" w:rsidP="00705C2B">
      <w:pPr>
        <w:pStyle w:val="Didascalia"/>
        <w:keepNext/>
        <w:spacing w:before="120" w:after="120" w:line="360" w:lineRule="auto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B20FF0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Table 2</w:t>
      </w:r>
      <w:r w:rsidRPr="00B20FF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B20FF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- </w:t>
      </w:r>
      <w:r w:rsidRPr="00B20FF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Effects of different conditions in </w:t>
      </w:r>
      <w:r w:rsidRPr="00B20FF0">
        <w:rPr>
          <w:rFonts w:ascii="Times New Roman" w:hAnsi="Times New Roman" w:cs="Times New Roman"/>
          <w:color w:val="auto"/>
          <w:sz w:val="20"/>
          <w:szCs w:val="20"/>
        </w:rPr>
        <w:t>in vitro</w:t>
      </w:r>
      <w:r w:rsidRPr="00B20FF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culture using temporary immersion systems on walnut proliferation and rooting (p</w:t>
      </w:r>
      <w:r w:rsidRPr="00B20FF0">
        <w:rPr>
          <w:rFonts w:ascii="Magneto" w:hAnsi="Magneto" w:cs="Times New Roman"/>
          <w:i w:val="0"/>
          <w:color w:val="auto"/>
          <w:sz w:val="20"/>
          <w:szCs w:val="20"/>
        </w:rPr>
        <w:t>≤</w:t>
      </w:r>
      <w:r w:rsidRPr="00B20FF0">
        <w:rPr>
          <w:rFonts w:ascii="Times New Roman" w:hAnsi="Times New Roman" w:cs="Times New Roman"/>
          <w:i w:val="0"/>
          <w:color w:val="auto"/>
          <w:sz w:val="20"/>
          <w:szCs w:val="20"/>
        </w:rPr>
        <w:t>0.05)</w:t>
      </w:r>
      <w:r w:rsidR="00B20FF0">
        <w:rPr>
          <w:rFonts w:ascii="Times New Roman" w:hAnsi="Times New Roman" w:cs="Times New Roman"/>
          <w:i w:val="0"/>
          <w:color w:val="auto"/>
          <w:sz w:val="20"/>
          <w:szCs w:val="20"/>
        </w:rPr>
        <w:t>.</w:t>
      </w:r>
    </w:p>
    <w:tbl>
      <w:tblPr>
        <w:tblW w:w="3406" w:type="pct"/>
        <w:jc w:val="center"/>
        <w:tblLook w:val="04A0"/>
      </w:tblPr>
      <w:tblGrid>
        <w:gridCol w:w="967"/>
        <w:gridCol w:w="1353"/>
        <w:gridCol w:w="1279"/>
        <w:gridCol w:w="779"/>
        <w:gridCol w:w="860"/>
        <w:gridCol w:w="702"/>
      </w:tblGrid>
      <w:tr w:rsidR="00705C2B" w:rsidRPr="00313895" w:rsidTr="003A4528">
        <w:trPr>
          <w:trHeight w:val="1200"/>
          <w:jc w:val="center"/>
        </w:trPr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Bioreactor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15" w:right="-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Explant</w:t>
            </w:r>
          </w:p>
        </w:tc>
        <w:tc>
          <w:tcPr>
            <w:tcW w:w="10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70" w:righ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Multiplication Rate</w:t>
            </w:r>
            <w:r w:rsidRPr="00B20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26" w:right="-1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Explant Sprouted (%)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43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Explants w/ 2 Sprouted Buds           (%)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28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Rooting (%)</w:t>
            </w:r>
          </w:p>
        </w:tc>
      </w:tr>
      <w:tr w:rsidR="00705C2B" w:rsidRPr="00154D9E" w:rsidTr="003A4528">
        <w:trPr>
          <w:trHeight w:val="300"/>
          <w:jc w:val="center"/>
        </w:trPr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15" w:right="-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Nodal</w:t>
            </w:r>
          </w:p>
        </w:tc>
        <w:tc>
          <w:tcPr>
            <w:tcW w:w="10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70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87.8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4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bc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12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705C2B" w:rsidRPr="00154D9E" w:rsidTr="003A4528">
        <w:trPr>
          <w:trHeight w:val="300"/>
          <w:jc w:val="center"/>
        </w:trPr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20F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Plantform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15" w:right="-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Nodal</w:t>
            </w:r>
          </w:p>
        </w:tc>
        <w:tc>
          <w:tcPr>
            <w:tcW w:w="10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70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055E3" w:rsidRDefault="00705C2B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4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44B03" w:rsidRDefault="00705C2B" w:rsidP="003A4528">
            <w:pPr>
              <w:spacing w:after="0" w:line="240" w:lineRule="auto"/>
              <w:ind w:left="-12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705C2B" w:rsidRPr="00154D9E" w:rsidTr="003A4528">
        <w:trPr>
          <w:trHeight w:val="300"/>
          <w:jc w:val="center"/>
        </w:trPr>
        <w:tc>
          <w:tcPr>
            <w:tcW w:w="82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TIB100</w:t>
            </w:r>
          </w:p>
        </w:tc>
        <w:tc>
          <w:tcPr>
            <w:tcW w:w="11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15" w:right="-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Nodal</w:t>
            </w:r>
          </w:p>
        </w:tc>
        <w:tc>
          <w:tcPr>
            <w:tcW w:w="10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70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4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44B03" w:rsidRDefault="00705C2B" w:rsidP="003A4528">
            <w:pPr>
              <w:spacing w:after="0" w:line="240" w:lineRule="auto"/>
              <w:ind w:left="-12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705C2B" w:rsidRPr="00154D9E" w:rsidTr="003A4528">
        <w:trPr>
          <w:trHeight w:val="300"/>
          <w:jc w:val="center"/>
        </w:trPr>
        <w:tc>
          <w:tcPr>
            <w:tcW w:w="82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15" w:right="-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Nodal w/callu</w:t>
            </w:r>
            <w:r w:rsidRPr="00B20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70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055E3" w:rsidRDefault="00705C2B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4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44B03" w:rsidRDefault="00705C2B" w:rsidP="003A4528">
            <w:pPr>
              <w:spacing w:after="0" w:line="240" w:lineRule="auto"/>
              <w:ind w:left="-12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tr w:rsidR="00705C2B" w:rsidRPr="00154D9E" w:rsidTr="003A4528">
        <w:trPr>
          <w:trHeight w:val="300"/>
          <w:jc w:val="center"/>
        </w:trPr>
        <w:tc>
          <w:tcPr>
            <w:tcW w:w="82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TIB200</w:t>
            </w:r>
          </w:p>
        </w:tc>
        <w:tc>
          <w:tcPr>
            <w:tcW w:w="11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15" w:right="-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Nodal</w:t>
            </w:r>
          </w:p>
        </w:tc>
        <w:tc>
          <w:tcPr>
            <w:tcW w:w="10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70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93.8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4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44B03" w:rsidRDefault="00705C2B" w:rsidP="003A4528">
            <w:pPr>
              <w:spacing w:after="0" w:line="240" w:lineRule="auto"/>
              <w:ind w:left="-12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e</w:t>
            </w:r>
          </w:p>
        </w:tc>
      </w:tr>
      <w:tr w:rsidR="00705C2B" w:rsidRPr="00154D9E" w:rsidTr="003A4528">
        <w:trPr>
          <w:trHeight w:val="300"/>
          <w:jc w:val="center"/>
        </w:trPr>
        <w:tc>
          <w:tcPr>
            <w:tcW w:w="82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B20FF0" w:rsidRDefault="00705C2B" w:rsidP="003A4528">
            <w:pPr>
              <w:spacing w:after="0" w:line="240" w:lineRule="auto"/>
              <w:ind w:left="-115" w:right="-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20F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Nodal w/callu</w:t>
            </w:r>
            <w:r w:rsidRPr="00B20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70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4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2B" w:rsidRPr="00E708FE" w:rsidRDefault="00705C2B" w:rsidP="003A4528">
            <w:pPr>
              <w:spacing w:after="0" w:line="240" w:lineRule="auto"/>
              <w:ind w:left="-12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</w:tbl>
    <w:p w:rsidR="00705C2B" w:rsidRPr="004A508B" w:rsidRDefault="00705C2B" w:rsidP="00705C2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508B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4A508B">
        <w:rPr>
          <w:rFonts w:ascii="Times New Roman" w:hAnsi="Times New Roman" w:cs="Times New Roman"/>
          <w:sz w:val="20"/>
          <w:szCs w:val="20"/>
        </w:rPr>
        <w:t>Rounded values</w:t>
      </w:r>
      <w:r>
        <w:rPr>
          <w:rFonts w:ascii="Times New Roman" w:hAnsi="Times New Roman" w:cs="Times New Roman"/>
          <w:sz w:val="20"/>
          <w:szCs w:val="20"/>
        </w:rPr>
        <w:t>. However, for statistical analysis 2 decimal positions were used</w:t>
      </w:r>
    </w:p>
    <w:p w:rsidR="00705C2B" w:rsidRDefault="00705C2B" w:rsidP="00705C2B">
      <w:bookmarkStart w:id="0" w:name="_GoBack"/>
      <w:bookmarkEnd w:id="0"/>
    </w:p>
    <w:sectPr w:rsidR="00705C2B" w:rsidSect="006D4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05C2B"/>
    <w:rsid w:val="006D41A9"/>
    <w:rsid w:val="00705C2B"/>
    <w:rsid w:val="00B2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C2B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705C2B"/>
    <w:pPr>
      <w:spacing w:after="200" w:line="240" w:lineRule="auto"/>
    </w:pPr>
    <w:rPr>
      <w:rFonts w:ascii="Verdana" w:hAnsi="Verdana"/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Licea Moreno</dc:creator>
  <cp:keywords/>
  <dc:description/>
  <cp:lastModifiedBy>Attila</cp:lastModifiedBy>
  <cp:revision>2</cp:revision>
  <dcterms:created xsi:type="dcterms:W3CDTF">2019-09-30T11:42:00Z</dcterms:created>
  <dcterms:modified xsi:type="dcterms:W3CDTF">2020-01-10T08:07:00Z</dcterms:modified>
</cp:coreProperties>
</file>