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15" w:rsidRPr="00C92078" w:rsidRDefault="00F56415" w:rsidP="00F56415">
      <w:pPr>
        <w:jc w:val="both"/>
        <w:rPr>
          <w:rFonts w:asciiTheme="majorEastAsia" w:hAnsiTheme="majorEastAsia" w:cstheme="majorEastAsia"/>
          <w:sz w:val="20"/>
          <w:szCs w:val="20"/>
          <w:lang w:val="en-US"/>
        </w:rPr>
      </w:pPr>
      <w:r w:rsidRPr="00F56415">
        <w:rPr>
          <w:rFonts w:asciiTheme="majorEastAsia" w:hAnsiTheme="majorEastAsia" w:cstheme="majorEastAsia"/>
          <w:b/>
          <w:sz w:val="20"/>
          <w:szCs w:val="20"/>
          <w:lang w:val="en-US"/>
        </w:rPr>
        <w:t>Figure 1</w:t>
      </w:r>
      <w:r>
        <w:rPr>
          <w:rFonts w:asciiTheme="majorEastAsia" w:hAnsiTheme="majorEastAsia" w:cstheme="majorEastAsia"/>
          <w:b/>
          <w:sz w:val="20"/>
          <w:szCs w:val="20"/>
          <w:lang w:val="en-US"/>
        </w:rPr>
        <w:t xml:space="preserve"> -</w:t>
      </w:r>
      <w:r w:rsidRPr="00C92078">
        <w:rPr>
          <w:rFonts w:asciiTheme="majorEastAsia" w:hAnsiTheme="majorEastAsia" w:cstheme="majorEastAsia"/>
          <w:sz w:val="20"/>
          <w:szCs w:val="20"/>
          <w:lang w:val="en-US"/>
        </w:rPr>
        <w:t xml:space="preserve"> Study area of </w:t>
      </w:r>
      <w:proofErr w:type="spellStart"/>
      <w:r w:rsidRPr="00C92078">
        <w:rPr>
          <w:rFonts w:asciiTheme="majorEastAsia" w:hAnsiTheme="majorEastAsia" w:cstheme="majorEastAsia"/>
          <w:sz w:val="20"/>
          <w:szCs w:val="20"/>
          <w:lang w:val="en-US"/>
        </w:rPr>
        <w:t>Castelporziano</w:t>
      </w:r>
      <w:proofErr w:type="spellEnd"/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 </w:t>
      </w:r>
      <w:r w:rsidRPr="0086268A">
        <w:rPr>
          <w:rFonts w:asciiTheme="majorEastAsia" w:hAnsiTheme="majorEastAsia" w:cstheme="majorEastAsia"/>
          <w:sz w:val="20"/>
          <w:szCs w:val="20"/>
          <w:lang w:val="en-US"/>
        </w:rPr>
        <w:t>(E 41° 440’ 40.4000’’; N 12° 230’ 59.4900’’, datum WGS84)</w:t>
      </w:r>
      <w:r w:rsidRPr="00C92078">
        <w:rPr>
          <w:rFonts w:asciiTheme="majorEastAsia" w:hAnsiTheme="majorEastAsia" w:cstheme="majorEastAsia"/>
          <w:sz w:val="20"/>
          <w:szCs w:val="20"/>
          <w:lang w:val="en-US"/>
        </w:rPr>
        <w:t>: on the left, aerial photo and borders (red line); on the right, a territorial description of the study area (yellow), Tiber river (blue), Municipality of Rome (dark gray), and city of Rome (light gray and black).</w:t>
      </w:r>
    </w:p>
    <w:p w:rsidR="00BE78BF" w:rsidRDefault="00BE78BF">
      <w:pPr>
        <w:rPr>
          <w:lang w:val="en-US"/>
        </w:rPr>
      </w:pPr>
    </w:p>
    <w:p w:rsidR="006A7FCF" w:rsidRDefault="006A7FCF">
      <w:pPr>
        <w:rPr>
          <w:lang w:val="en-US"/>
        </w:rPr>
      </w:pPr>
    </w:p>
    <w:p w:rsidR="0044767B" w:rsidRDefault="0044767B" w:rsidP="0044767B">
      <w:pPr>
        <w:spacing w:line="360" w:lineRule="auto"/>
        <w:rPr>
          <w:rFonts w:asciiTheme="majorEastAsia" w:hAnsiTheme="majorEastAsia" w:cstheme="majorEastAsia"/>
          <w:sz w:val="20"/>
          <w:szCs w:val="20"/>
          <w:lang w:val="en-US"/>
        </w:rPr>
      </w:pPr>
      <w:r w:rsidRPr="0044767B">
        <w:rPr>
          <w:rFonts w:asciiTheme="majorEastAsia" w:hAnsiTheme="majorEastAsia" w:cstheme="majorEastAsia"/>
          <w:b/>
          <w:sz w:val="20"/>
          <w:szCs w:val="20"/>
          <w:lang w:val="en-US"/>
        </w:rPr>
        <w:t>Figure 2</w:t>
      </w:r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 - </w:t>
      </w:r>
      <w:proofErr w:type="spellStart"/>
      <w:r>
        <w:rPr>
          <w:rFonts w:asciiTheme="majorEastAsia" w:hAnsiTheme="majorEastAsia" w:cstheme="majorEastAsia"/>
          <w:sz w:val="20"/>
          <w:szCs w:val="20"/>
          <w:lang w:val="en-US"/>
        </w:rPr>
        <w:t>Castelporziano</w:t>
      </w:r>
      <w:proofErr w:type="spellEnd"/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 deciduous oak forest:</w:t>
      </w:r>
      <w:r w:rsidRPr="004A7EBB">
        <w:rPr>
          <w:rFonts w:asciiTheme="majorEastAsia" w:hAnsiTheme="majorEastAsia" w:cstheme="majorEastAsia"/>
          <w:sz w:val="20"/>
          <w:szCs w:val="20"/>
          <w:lang w:val="en-US"/>
        </w:rPr>
        <w:t xml:space="preserve"> </w:t>
      </w:r>
      <w:r>
        <w:rPr>
          <w:rFonts w:asciiTheme="majorEastAsia" w:hAnsiTheme="majorEastAsia" w:cstheme="majorEastAsia"/>
          <w:sz w:val="20"/>
          <w:szCs w:val="20"/>
          <w:lang w:val="en-US"/>
        </w:rPr>
        <w:t>different rates of health decline.</w:t>
      </w:r>
    </w:p>
    <w:p w:rsidR="006A7FCF" w:rsidRPr="004A7EBB" w:rsidRDefault="006A7FCF" w:rsidP="0044767B">
      <w:pPr>
        <w:spacing w:line="360" w:lineRule="auto"/>
        <w:rPr>
          <w:rFonts w:asciiTheme="majorEastAsia" w:hAnsiTheme="majorEastAsia" w:cstheme="majorEastAsia"/>
          <w:sz w:val="20"/>
          <w:szCs w:val="20"/>
          <w:lang w:val="en-US"/>
        </w:rPr>
      </w:pPr>
    </w:p>
    <w:p w:rsidR="006A7FCF" w:rsidRPr="00203BC0" w:rsidRDefault="006A7FCF" w:rsidP="006A7FCF">
      <w:pPr>
        <w:rPr>
          <w:rFonts w:asciiTheme="majorEastAsia" w:hAnsiTheme="majorEastAsia" w:cstheme="majorEastAsia"/>
          <w:sz w:val="20"/>
          <w:szCs w:val="20"/>
          <w:lang w:val="en-US"/>
        </w:rPr>
      </w:pPr>
      <w:r w:rsidRPr="006A7FCF">
        <w:rPr>
          <w:rFonts w:asciiTheme="majorEastAsia" w:hAnsiTheme="majorEastAsia" w:cstheme="majorEastAsia"/>
          <w:b/>
          <w:sz w:val="20"/>
          <w:szCs w:val="20"/>
          <w:lang w:val="en-US"/>
        </w:rPr>
        <w:t>Figure 3</w:t>
      </w:r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 - On left, Campo </w:t>
      </w:r>
      <w:proofErr w:type="spellStart"/>
      <w:r>
        <w:rPr>
          <w:rFonts w:asciiTheme="majorEastAsia" w:hAnsiTheme="majorEastAsia" w:cstheme="majorEastAsia"/>
          <w:sz w:val="20"/>
          <w:szCs w:val="20"/>
          <w:lang w:val="en-US"/>
        </w:rPr>
        <w:t>di</w:t>
      </w:r>
      <w:proofErr w:type="spellEnd"/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 Rota experimental area (red line) with the sub-areas A, B and C and the plot areas for the census of the natural renewal of the oak forest, on the right, P1, P2 and P3.</w:t>
      </w:r>
    </w:p>
    <w:p w:rsidR="00F56415" w:rsidRDefault="00F56415">
      <w:pPr>
        <w:rPr>
          <w:lang w:val="en-US"/>
        </w:rPr>
      </w:pPr>
    </w:p>
    <w:p w:rsidR="006C1439" w:rsidRDefault="006C1439" w:rsidP="006C1439">
      <w:pPr>
        <w:jc w:val="both"/>
        <w:rPr>
          <w:rFonts w:asciiTheme="majorEastAsia" w:hAnsiTheme="majorEastAsia" w:cstheme="majorEastAsia"/>
          <w:sz w:val="20"/>
          <w:szCs w:val="20"/>
          <w:lang w:val="en-US"/>
        </w:rPr>
      </w:pPr>
      <w:r w:rsidRPr="006C1439">
        <w:rPr>
          <w:rFonts w:asciiTheme="majorEastAsia" w:hAnsiTheme="majorEastAsia" w:cstheme="majorEastAsia"/>
          <w:b/>
          <w:sz w:val="20"/>
          <w:szCs w:val="20"/>
          <w:lang w:val="en-US"/>
        </w:rPr>
        <w:t>Figure 4</w:t>
      </w:r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 - </w:t>
      </w:r>
      <w:proofErr w:type="spellStart"/>
      <w:r w:rsidRPr="00E639C1">
        <w:rPr>
          <w:rFonts w:asciiTheme="majorEastAsia" w:hAnsiTheme="majorEastAsia" w:cstheme="majorEastAsia"/>
          <w:sz w:val="20"/>
          <w:szCs w:val="20"/>
          <w:lang w:val="en-US"/>
        </w:rPr>
        <w:t>Castelporziano</w:t>
      </w:r>
      <w:proofErr w:type="spellEnd"/>
      <w:r w:rsidRPr="00E639C1">
        <w:rPr>
          <w:rFonts w:asciiTheme="majorEastAsia" w:hAnsiTheme="majorEastAsia" w:cstheme="majorEastAsia"/>
          <w:sz w:val="20"/>
          <w:szCs w:val="20"/>
          <w:lang w:val="en-US"/>
        </w:rPr>
        <w:t xml:space="preserve"> deciduous oak forest: examples of heterogeneous distribution of oak canopy cover detected at the forest unit management scale (white line). The green dots represent cells of the Sentinel-2 grid with presence of </w:t>
      </w:r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deciduous </w:t>
      </w:r>
      <w:r w:rsidRPr="00E639C1">
        <w:rPr>
          <w:rFonts w:asciiTheme="majorEastAsia" w:hAnsiTheme="majorEastAsia" w:cstheme="majorEastAsia"/>
          <w:sz w:val="20"/>
          <w:szCs w:val="20"/>
          <w:lang w:val="en-US"/>
        </w:rPr>
        <w:t>oak's canopy.</w:t>
      </w:r>
    </w:p>
    <w:p w:rsidR="001843F7" w:rsidRDefault="001843F7" w:rsidP="006C1439">
      <w:pPr>
        <w:jc w:val="both"/>
        <w:rPr>
          <w:rFonts w:asciiTheme="majorEastAsia" w:hAnsiTheme="majorEastAsia" w:cstheme="majorEastAsia"/>
          <w:sz w:val="20"/>
          <w:szCs w:val="20"/>
          <w:lang w:val="en-US"/>
        </w:rPr>
      </w:pPr>
    </w:p>
    <w:p w:rsidR="001843F7" w:rsidRDefault="001843F7" w:rsidP="001843F7">
      <w:pPr>
        <w:jc w:val="both"/>
        <w:rPr>
          <w:rFonts w:asciiTheme="majorEastAsia" w:hAnsiTheme="majorEastAsia" w:cstheme="majorEastAsia"/>
          <w:sz w:val="20"/>
          <w:szCs w:val="20"/>
          <w:lang w:val="en-US"/>
        </w:rPr>
      </w:pPr>
      <w:r w:rsidRPr="001843F7">
        <w:rPr>
          <w:rFonts w:asciiTheme="majorEastAsia" w:hAnsiTheme="majorEastAsia" w:cstheme="majorEastAsia"/>
          <w:b/>
          <w:sz w:val="20"/>
          <w:szCs w:val="20"/>
          <w:lang w:val="en-US"/>
        </w:rPr>
        <w:t>Figure 5</w:t>
      </w:r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 - (A) Forest Unit Management (white line); (B) Sentinel-2 grid “mask”; (C) presence of oak deciduous canopy (red squares); (D, E and F) NDVI values detected for deciduous oak canopy for years: 2015, 2016 and 2017.</w:t>
      </w:r>
    </w:p>
    <w:p w:rsidR="00945FE6" w:rsidRDefault="00945FE6" w:rsidP="001843F7">
      <w:pPr>
        <w:jc w:val="both"/>
        <w:rPr>
          <w:rFonts w:asciiTheme="majorEastAsia" w:hAnsiTheme="majorEastAsia" w:cstheme="majorEastAsia"/>
          <w:sz w:val="20"/>
          <w:szCs w:val="20"/>
          <w:lang w:val="en-US"/>
        </w:rPr>
      </w:pPr>
    </w:p>
    <w:p w:rsidR="00945FE6" w:rsidRDefault="00945FE6" w:rsidP="00945FE6">
      <w:pPr>
        <w:spacing w:line="360" w:lineRule="auto"/>
        <w:rPr>
          <w:rFonts w:asciiTheme="majorEastAsia" w:hAnsiTheme="majorEastAsia" w:cstheme="majorEastAsia"/>
          <w:sz w:val="20"/>
          <w:szCs w:val="20"/>
          <w:lang w:val="en-US"/>
        </w:rPr>
      </w:pPr>
      <w:r w:rsidRPr="00945FE6">
        <w:rPr>
          <w:rFonts w:asciiTheme="majorEastAsia" w:hAnsiTheme="majorEastAsia" w:cstheme="majorEastAsia"/>
          <w:b/>
          <w:sz w:val="20"/>
          <w:szCs w:val="20"/>
          <w:lang w:val="en-US"/>
        </w:rPr>
        <w:t>Figure 6</w:t>
      </w:r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 - N</w:t>
      </w:r>
      <w:r w:rsidRPr="004F1F6A">
        <w:rPr>
          <w:rFonts w:asciiTheme="majorEastAsia" w:hAnsiTheme="majorEastAsia" w:cstheme="majorEastAsia"/>
          <w:sz w:val="20"/>
          <w:szCs w:val="20"/>
          <w:lang w:val="en-US"/>
        </w:rPr>
        <w:t>umber of seedlings in the plots considered for the period 2013-2018</w:t>
      </w:r>
      <w:r>
        <w:rPr>
          <w:rFonts w:asciiTheme="majorEastAsia" w:hAnsiTheme="majorEastAsia" w:cstheme="majorEastAsia"/>
          <w:sz w:val="20"/>
          <w:szCs w:val="20"/>
          <w:lang w:val="en-US"/>
        </w:rPr>
        <w:t>.</w:t>
      </w:r>
    </w:p>
    <w:p w:rsidR="00C46AB7" w:rsidRDefault="00C46AB7" w:rsidP="00945FE6">
      <w:pPr>
        <w:spacing w:line="360" w:lineRule="auto"/>
        <w:rPr>
          <w:rFonts w:asciiTheme="majorEastAsia" w:hAnsiTheme="majorEastAsia" w:cstheme="majorEastAsia"/>
          <w:sz w:val="20"/>
          <w:szCs w:val="20"/>
          <w:lang w:val="en-US"/>
        </w:rPr>
      </w:pPr>
    </w:p>
    <w:p w:rsidR="00C46AB7" w:rsidRDefault="00C46AB7" w:rsidP="00C46AB7">
      <w:pPr>
        <w:spacing w:line="360" w:lineRule="auto"/>
        <w:rPr>
          <w:rFonts w:asciiTheme="majorEastAsia" w:hAnsiTheme="majorEastAsia" w:cstheme="majorEastAsia"/>
          <w:sz w:val="20"/>
          <w:szCs w:val="20"/>
          <w:lang w:val="en-US"/>
        </w:rPr>
      </w:pPr>
      <w:r w:rsidRPr="00C46AB7">
        <w:rPr>
          <w:rFonts w:asciiTheme="majorEastAsia" w:hAnsiTheme="majorEastAsia" w:cstheme="majorEastAsia"/>
          <w:b/>
          <w:sz w:val="20"/>
          <w:szCs w:val="20"/>
          <w:lang w:val="en-US"/>
        </w:rPr>
        <w:t>Figure 7</w:t>
      </w:r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 -</w:t>
      </w:r>
      <w:r w:rsidRPr="00D42C01">
        <w:rPr>
          <w:rFonts w:asciiTheme="majorEastAsia" w:hAnsiTheme="majorEastAsia" w:cstheme="majorEastAsia"/>
          <w:sz w:val="20"/>
          <w:szCs w:val="20"/>
          <w:lang w:val="en-US"/>
        </w:rPr>
        <w:t xml:space="preserve"> NDVI index </w:t>
      </w:r>
      <w:r>
        <w:rPr>
          <w:rFonts w:asciiTheme="majorEastAsia" w:hAnsiTheme="majorEastAsia" w:cstheme="majorEastAsia"/>
          <w:sz w:val="20"/>
          <w:szCs w:val="20"/>
          <w:lang w:val="en-US"/>
        </w:rPr>
        <w:t>detected by Sentinel-2 satellite images.</w:t>
      </w:r>
    </w:p>
    <w:p w:rsidR="009B3147" w:rsidRDefault="009B3147" w:rsidP="00C46AB7">
      <w:pPr>
        <w:spacing w:line="360" w:lineRule="auto"/>
        <w:rPr>
          <w:rFonts w:asciiTheme="majorEastAsia" w:hAnsiTheme="majorEastAsia" w:cstheme="majorEastAsia"/>
          <w:sz w:val="20"/>
          <w:szCs w:val="20"/>
          <w:lang w:val="en-US"/>
        </w:rPr>
      </w:pPr>
    </w:p>
    <w:p w:rsidR="009B3147" w:rsidRPr="00D42C01" w:rsidRDefault="009B3147" w:rsidP="009B3147">
      <w:pPr>
        <w:rPr>
          <w:rFonts w:asciiTheme="majorEastAsia" w:hAnsiTheme="majorEastAsia" w:cstheme="majorEastAsia"/>
          <w:sz w:val="20"/>
          <w:szCs w:val="20"/>
          <w:lang w:val="en-US"/>
        </w:rPr>
      </w:pPr>
      <w:r w:rsidRPr="009B3147">
        <w:rPr>
          <w:rFonts w:asciiTheme="majorEastAsia" w:hAnsiTheme="majorEastAsia" w:cstheme="majorEastAsia"/>
          <w:b/>
          <w:sz w:val="20"/>
          <w:szCs w:val="20"/>
          <w:lang w:val="en-US"/>
        </w:rPr>
        <w:t>Figure 8</w:t>
      </w:r>
      <w:r>
        <w:rPr>
          <w:rFonts w:asciiTheme="majorEastAsia" w:hAnsiTheme="majorEastAsia" w:cstheme="majorEastAsia"/>
          <w:sz w:val="20"/>
          <w:szCs w:val="20"/>
          <w:lang w:val="en-US"/>
        </w:rPr>
        <w:t xml:space="preserve"> -</w:t>
      </w:r>
      <w:r w:rsidRPr="00D05917">
        <w:rPr>
          <w:rFonts w:asciiTheme="majorEastAsia" w:hAnsiTheme="majorEastAsia" w:cstheme="majorEastAsia"/>
          <w:sz w:val="20"/>
          <w:szCs w:val="20"/>
          <w:lang w:val="en-US"/>
        </w:rPr>
        <w:t xml:space="preserve"> </w:t>
      </w:r>
      <w:r w:rsidRPr="00D42C01">
        <w:rPr>
          <w:rFonts w:asciiTheme="majorEastAsia" w:hAnsiTheme="majorEastAsia" w:cstheme="majorEastAsia"/>
          <w:sz w:val="20"/>
          <w:szCs w:val="20"/>
          <w:lang w:val="en-US"/>
        </w:rPr>
        <w:t xml:space="preserve"> NDVI index </w:t>
      </w:r>
      <w:r>
        <w:rPr>
          <w:rFonts w:asciiTheme="majorEastAsia" w:hAnsiTheme="majorEastAsia" w:cstheme="majorEastAsia"/>
          <w:sz w:val="20"/>
          <w:szCs w:val="20"/>
          <w:lang w:val="en-US"/>
        </w:rPr>
        <w:t>detected by Landsat-5 satellite images. Data refers to the 37% of the “mask” surface.</w:t>
      </w:r>
    </w:p>
    <w:p w:rsidR="009B3147" w:rsidRPr="00D42C01" w:rsidRDefault="009B3147" w:rsidP="00C46AB7">
      <w:pPr>
        <w:spacing w:line="360" w:lineRule="auto"/>
        <w:rPr>
          <w:rFonts w:asciiTheme="majorEastAsia" w:hAnsiTheme="majorEastAsia" w:cstheme="majorEastAsia"/>
          <w:sz w:val="20"/>
          <w:szCs w:val="20"/>
          <w:lang w:val="en-US"/>
        </w:rPr>
      </w:pPr>
    </w:p>
    <w:p w:rsidR="00C46AB7" w:rsidRPr="0042047F" w:rsidRDefault="00C46AB7" w:rsidP="00945FE6">
      <w:pPr>
        <w:spacing w:line="360" w:lineRule="auto"/>
        <w:rPr>
          <w:rFonts w:asciiTheme="majorEastAsia" w:hAnsiTheme="majorEastAsia" w:cstheme="majorEastAsia"/>
          <w:sz w:val="20"/>
          <w:szCs w:val="20"/>
          <w:lang w:val="en-US"/>
        </w:rPr>
      </w:pPr>
    </w:p>
    <w:p w:rsidR="00945FE6" w:rsidRPr="001D6260" w:rsidRDefault="00945FE6" w:rsidP="001843F7">
      <w:pPr>
        <w:jc w:val="both"/>
        <w:rPr>
          <w:rFonts w:asciiTheme="majorEastAsia" w:hAnsiTheme="majorEastAsia" w:cstheme="majorEastAsia"/>
          <w:sz w:val="20"/>
          <w:szCs w:val="20"/>
          <w:lang w:val="en-US"/>
        </w:rPr>
      </w:pPr>
    </w:p>
    <w:p w:rsidR="001843F7" w:rsidRPr="00411F2A" w:rsidRDefault="001843F7" w:rsidP="006C1439">
      <w:pPr>
        <w:jc w:val="both"/>
        <w:rPr>
          <w:rFonts w:asciiTheme="majorEastAsia" w:hAnsiTheme="majorEastAsia" w:cstheme="majorEastAsia"/>
          <w:sz w:val="20"/>
          <w:szCs w:val="20"/>
          <w:lang w:val="en-US"/>
        </w:rPr>
      </w:pPr>
    </w:p>
    <w:p w:rsidR="006C1439" w:rsidRDefault="006C1439" w:rsidP="006C1439">
      <w:pPr>
        <w:spacing w:line="360" w:lineRule="auto"/>
        <w:jc w:val="both"/>
        <w:rPr>
          <w:rFonts w:asciiTheme="majorEastAsia" w:hAnsiTheme="majorEastAsia" w:cstheme="majorEastAsia"/>
          <w:lang w:val="en-US"/>
        </w:rPr>
      </w:pPr>
    </w:p>
    <w:p w:rsidR="006C1439" w:rsidRPr="00F56415" w:rsidRDefault="006C1439">
      <w:pPr>
        <w:rPr>
          <w:lang w:val="en-US"/>
        </w:rPr>
      </w:pPr>
    </w:p>
    <w:sectPr w:rsidR="006C1439" w:rsidRPr="00F56415" w:rsidSect="00BE78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/>
  <w:defaultTabStop w:val="708"/>
  <w:hyphenationZone w:val="283"/>
  <w:characterSpacingControl w:val="doNotCompress"/>
  <w:compat/>
  <w:rsids>
    <w:rsidRoot w:val="001D14DE"/>
    <w:rsid w:val="001843F7"/>
    <w:rsid w:val="001D14DE"/>
    <w:rsid w:val="0044767B"/>
    <w:rsid w:val="006A7FCF"/>
    <w:rsid w:val="006C1439"/>
    <w:rsid w:val="00945FE6"/>
    <w:rsid w:val="009B3147"/>
    <w:rsid w:val="00BE78BF"/>
    <w:rsid w:val="00C46AB7"/>
    <w:rsid w:val="00F5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41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9</cp:revision>
  <dcterms:created xsi:type="dcterms:W3CDTF">2019-09-06T10:43:00Z</dcterms:created>
  <dcterms:modified xsi:type="dcterms:W3CDTF">2019-09-06T10:49:00Z</dcterms:modified>
</cp:coreProperties>
</file>