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B0D" w:rsidRDefault="00245B0D" w:rsidP="00A37E0D">
      <w:pPr>
        <w:spacing w:line="36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bookmarkStart w:id="0" w:name="_GoBack"/>
      <w:bookmarkEnd w:id="0"/>
    </w:p>
    <w:p w:rsidR="00245B0D" w:rsidRDefault="00245B0D" w:rsidP="00A37E0D">
      <w:pPr>
        <w:spacing w:line="36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245B0D" w:rsidRDefault="00245B0D" w:rsidP="00A37E0D">
      <w:pPr>
        <w:spacing w:line="36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245B0D" w:rsidRDefault="00DC51F2" w:rsidP="00A37E0D">
      <w:pPr>
        <w:spacing w:line="36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687BEF">
        <w:rPr>
          <w:rFonts w:asciiTheme="majorBidi" w:hAnsiTheme="majorBidi" w:cstheme="majorBidi"/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0C15E1C7" wp14:editId="3E835640">
            <wp:simplePos x="0" y="0"/>
            <wp:positionH relativeFrom="margin">
              <wp:posOffset>462280</wp:posOffset>
            </wp:positionH>
            <wp:positionV relativeFrom="paragraph">
              <wp:posOffset>299720</wp:posOffset>
            </wp:positionV>
            <wp:extent cx="5010150" cy="2919095"/>
            <wp:effectExtent l="0" t="0" r="0" b="0"/>
            <wp:wrapSquare wrapText="bothSides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5B0D" w:rsidRDefault="00245B0D" w:rsidP="00A37E0D">
      <w:pPr>
        <w:spacing w:line="36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:rsidR="00A37E0D" w:rsidRDefault="00A37E0D" w:rsidP="00A37E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DC51F2">
      <w:pPr>
        <w:spacing w:after="0" w:line="360" w:lineRule="auto"/>
        <w:jc w:val="center"/>
        <w:rPr>
          <w:rFonts w:ascii="Times New Roman" w:hAnsi="Times New Roman" w:cs="Times New Roman"/>
          <w:b/>
          <w:sz w:val="18"/>
          <w:szCs w:val="18"/>
          <w:lang w:val="en-US"/>
        </w:rPr>
      </w:pPr>
      <w:r w:rsidRPr="00CC75AE">
        <w:rPr>
          <w:rFonts w:ascii="Times New Roman" w:hAnsi="Times New Roman" w:cs="Times New Roman"/>
          <w:b/>
          <w:sz w:val="18"/>
          <w:szCs w:val="18"/>
          <w:lang w:val="en-US"/>
        </w:rPr>
        <w:t xml:space="preserve">Fig. </w:t>
      </w:r>
      <w:r>
        <w:rPr>
          <w:rFonts w:ascii="Times New Roman" w:hAnsi="Times New Roman" w:cs="Times New Roman"/>
          <w:b/>
          <w:sz w:val="18"/>
          <w:szCs w:val="18"/>
          <w:lang w:val="en-US"/>
        </w:rPr>
        <w:t>4</w:t>
      </w:r>
      <w:r w:rsidR="00FE1E5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r w:rsidRPr="00912FFC">
        <w:rPr>
          <w:rFonts w:ascii="Times New Roman" w:hAnsi="Times New Roman" w:cs="Times New Roman"/>
          <w:sz w:val="18"/>
          <w:szCs w:val="18"/>
          <w:lang w:val="en-US"/>
        </w:rPr>
        <w:t>The gap area– perimeter relationship for three fores</w:t>
      </w:r>
      <w:r w:rsidR="00DC51F2">
        <w:rPr>
          <w:rFonts w:ascii="Times New Roman" w:hAnsi="Times New Roman" w:cs="Times New Roman"/>
          <w:sz w:val="18"/>
          <w:szCs w:val="18"/>
          <w:lang w:val="en-US"/>
        </w:rPr>
        <w:t>t</w:t>
      </w:r>
      <w:r w:rsidRPr="00912FFC">
        <w:rPr>
          <w:rFonts w:ascii="Times New Roman" w:hAnsi="Times New Roman" w:cs="Times New Roman"/>
          <w:sz w:val="18"/>
          <w:szCs w:val="18"/>
          <w:lang w:val="en-US"/>
        </w:rPr>
        <w:t xml:space="preserve"> stand</w:t>
      </w:r>
      <w:r w:rsidR="00DC51F2">
        <w:rPr>
          <w:rFonts w:ascii="Times New Roman" w:hAnsi="Times New Roman" w:cs="Times New Roman"/>
          <w:sz w:val="18"/>
          <w:szCs w:val="18"/>
          <w:lang w:val="en-US"/>
        </w:rPr>
        <w:t>s</w:t>
      </w:r>
      <w:r w:rsidRPr="00912FFC">
        <w:rPr>
          <w:rFonts w:ascii="Times New Roman" w:hAnsi="Times New Roman" w:cs="Times New Roman"/>
          <w:sz w:val="18"/>
          <w:szCs w:val="18"/>
          <w:lang w:val="en-US"/>
        </w:rPr>
        <w:t xml:space="preserve"> study: Hornbeam-Ironwood, hornbeam</w:t>
      </w:r>
      <w:r w:rsidR="00DC51F2">
        <w:rPr>
          <w:rFonts w:ascii="Times New Roman" w:hAnsi="Times New Roman" w:cs="Times New Roman"/>
          <w:sz w:val="18"/>
          <w:szCs w:val="18"/>
          <w:lang w:val="en-US"/>
        </w:rPr>
        <w:t>,</w:t>
      </w:r>
      <w:r w:rsidRPr="00912FFC">
        <w:rPr>
          <w:rFonts w:ascii="Times New Roman" w:hAnsi="Times New Roman" w:cs="Times New Roman"/>
          <w:sz w:val="18"/>
          <w:szCs w:val="18"/>
          <w:lang w:val="en-US"/>
        </w:rPr>
        <w:t xml:space="preserve"> and Beech-Hornbeam. The dashed line indicates the area-perimeter ratio for a circle.</w:t>
      </w:r>
    </w:p>
    <w:p w:rsidR="00A37E0D" w:rsidRDefault="00A37E0D" w:rsidP="00A37E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Default="00A37E0D" w:rsidP="00A37E0D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Pr="00E90153" w:rsidRDefault="00A37E0D" w:rsidP="00245B0D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Pr="00E90153" w:rsidRDefault="00A37E0D" w:rsidP="00A37E0D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Pr="00E90153" w:rsidRDefault="00A37E0D" w:rsidP="00A37E0D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Pr="00E90153" w:rsidRDefault="00A37E0D" w:rsidP="00A37E0D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Pr="00E90153" w:rsidRDefault="00A37E0D" w:rsidP="00A37E0D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Pr="00E90153" w:rsidRDefault="00A37E0D" w:rsidP="00A37E0D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Pr="00E90153" w:rsidRDefault="00A37E0D" w:rsidP="00A37E0D">
      <w:pPr>
        <w:rPr>
          <w:rFonts w:ascii="Times New Roman" w:hAnsi="Times New Roman" w:cs="Times New Roman"/>
          <w:sz w:val="20"/>
          <w:szCs w:val="20"/>
          <w:lang w:val="en-US"/>
        </w:rPr>
      </w:pPr>
    </w:p>
    <w:p w:rsidR="00A37E0D" w:rsidRPr="00E90153" w:rsidRDefault="00A37E0D" w:rsidP="00A37E0D">
      <w:pPr>
        <w:rPr>
          <w:rFonts w:ascii="Times New Roman" w:hAnsi="Times New Roman" w:cs="Times New Roman"/>
          <w:sz w:val="20"/>
          <w:szCs w:val="20"/>
          <w:lang w:val="en-US"/>
        </w:rPr>
      </w:pPr>
    </w:p>
    <w:sectPr w:rsidR="00A37E0D" w:rsidRPr="00E90153" w:rsidSect="0067711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59A3" w:rsidRDefault="006959A3">
      <w:pPr>
        <w:spacing w:after="0" w:line="240" w:lineRule="auto"/>
      </w:pPr>
      <w:r>
        <w:separator/>
      </w:r>
    </w:p>
  </w:endnote>
  <w:endnote w:type="continuationSeparator" w:id="0">
    <w:p w:rsidR="006959A3" w:rsidRDefault="006959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93188618"/>
      <w:docPartObj>
        <w:docPartGallery w:val="Page Numbers (Bottom of Page)"/>
        <w:docPartUnique/>
      </w:docPartObj>
    </w:sdtPr>
    <w:sdtContent>
      <w:p w:rsidR="00EF0B50" w:rsidRDefault="00A37E0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3DF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0B50" w:rsidRDefault="00EF0B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59A3" w:rsidRDefault="006959A3">
      <w:pPr>
        <w:spacing w:after="0" w:line="240" w:lineRule="auto"/>
      </w:pPr>
      <w:r>
        <w:separator/>
      </w:r>
    </w:p>
  </w:footnote>
  <w:footnote w:type="continuationSeparator" w:id="0">
    <w:p w:rsidR="006959A3" w:rsidRDefault="006959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2MDM1MDEztzA2NjJV0lEKTi0uzszPAykwrAUA6lXvIiwAAAA="/>
  </w:docVars>
  <w:rsids>
    <w:rsidRoot w:val="00825E9D"/>
    <w:rsid w:val="001E262F"/>
    <w:rsid w:val="00245B0D"/>
    <w:rsid w:val="003C237E"/>
    <w:rsid w:val="00515BEB"/>
    <w:rsid w:val="005D33EB"/>
    <w:rsid w:val="00677119"/>
    <w:rsid w:val="006959A3"/>
    <w:rsid w:val="006A1EC2"/>
    <w:rsid w:val="006B5B53"/>
    <w:rsid w:val="00825E9D"/>
    <w:rsid w:val="00870C66"/>
    <w:rsid w:val="008D7DEE"/>
    <w:rsid w:val="009E271E"/>
    <w:rsid w:val="00A37E0D"/>
    <w:rsid w:val="00BA7FC6"/>
    <w:rsid w:val="00CC6827"/>
    <w:rsid w:val="00CC7DE0"/>
    <w:rsid w:val="00CE70A2"/>
    <w:rsid w:val="00D3580C"/>
    <w:rsid w:val="00DC51F2"/>
    <w:rsid w:val="00E43DF6"/>
    <w:rsid w:val="00EF0B50"/>
    <w:rsid w:val="00FE1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E2AE0B-F96C-400E-9CC9-ABA2D5F3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7E0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GB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">
    <w:name w:val="Table"/>
    <w:basedOn w:val="Normal"/>
    <w:qFormat/>
    <w:rsid w:val="00BA7FC6"/>
    <w:pPr>
      <w:spacing w:after="0" w:line="240" w:lineRule="auto"/>
      <w:jc w:val="center"/>
    </w:pPr>
    <w:rPr>
      <w:rFonts w:ascii="Times New Roman" w:eastAsia="Calibri" w:hAnsi="Times New Roman" w:cs="B Nazanin"/>
      <w:sz w:val="20"/>
    </w:rPr>
  </w:style>
  <w:style w:type="paragraph" w:styleId="ListParagraph">
    <w:name w:val="List Paragraph"/>
    <w:basedOn w:val="Normal"/>
    <w:uiPriority w:val="34"/>
    <w:qFormat/>
    <w:rsid w:val="00BA7FC6"/>
    <w:pPr>
      <w:bidi/>
      <w:ind w:left="720"/>
      <w:contextualSpacing/>
    </w:pPr>
    <w:rPr>
      <w:rFonts w:ascii="Calibri" w:eastAsia="Calibri" w:hAnsi="Calibri" w:cs="Arial"/>
      <w:lang w:val="en-US" w:bidi="fa-IR"/>
    </w:rPr>
  </w:style>
  <w:style w:type="paragraph" w:styleId="Footer">
    <w:name w:val="footer"/>
    <w:basedOn w:val="Normal"/>
    <w:link w:val="FooterChar"/>
    <w:uiPriority w:val="99"/>
    <w:unhideWhenUsed/>
    <w:rsid w:val="00A37E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7E0D"/>
    <w:rPr>
      <w:rFonts w:asciiTheme="minorHAnsi" w:eastAsiaTheme="minorHAnsi" w:hAnsiTheme="minorHAnsi" w:cstheme="minorBidi"/>
      <w:sz w:val="22"/>
      <w:szCs w:val="22"/>
      <w:lang w:val="en-GB" w:bidi="ar-SA"/>
    </w:rPr>
  </w:style>
  <w:style w:type="character" w:styleId="LineNumber">
    <w:name w:val="line number"/>
    <w:basedOn w:val="DefaultParagraphFont"/>
    <w:uiPriority w:val="99"/>
    <w:semiHidden/>
    <w:unhideWhenUsed/>
    <w:rsid w:val="00A37E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5343632426174866"/>
          <c:y val="4.0880478367439216E-2"/>
          <c:w val="0.8291397521468713"/>
          <c:h val="0.78077697077207575"/>
        </c:manualLayout>
      </c:layout>
      <c:lineChart>
        <c:grouping val="standard"/>
        <c:varyColors val="0"/>
        <c:ser>
          <c:idx val="0"/>
          <c:order val="0"/>
          <c:tx>
            <c:strRef>
              <c:f>Chart2!$P$2</c:f>
              <c:strCache>
                <c:ptCount val="1"/>
                <c:pt idx="0">
                  <c:v> Hornbeam-Ironwood (Mixed stand)</c:v>
                </c:pt>
              </c:strCache>
            </c:strRef>
          </c:tx>
          <c:spPr>
            <a:ln w="28575" cap="rnd">
              <a:noFill/>
              <a:prstDash val="dashDot"/>
              <a:round/>
            </a:ln>
            <a:effectLst/>
          </c:spPr>
          <c:marker>
            <c:symbol val="square"/>
            <c:size val="6"/>
            <c:spPr>
              <a:solidFill>
                <a:schemeClr val="tx1">
                  <a:lumMod val="95000"/>
                  <a:lumOff val="5000"/>
                </a:schemeClr>
              </a:solidFill>
              <a:ln w="9525">
                <a:solidFill>
                  <a:schemeClr val="accent1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1"/>
                </a:solidFill>
                <a:prstDash val="sysDot"/>
              </a:ln>
              <a:effectLst/>
            </c:spPr>
            <c:trendlineType val="power"/>
            <c:dispRSqr val="1"/>
            <c:dispEq val="1"/>
            <c:trendlineLbl>
              <c:layout>
                <c:manualLayout>
                  <c:x val="3.1878486672055728E-2"/>
                  <c:y val="0.314639982597346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>
                      <a:defRPr sz="10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j-cs"/>
                      </a:defRPr>
                    </a:pPr>
                    <a:r>
                      <a:rPr lang="en-US" sz="1000" baseline="0">
                        <a:cs typeface="+mj-cs"/>
                      </a:rPr>
                      <a:t>R² = 0.88</a:t>
                    </a:r>
                    <a:endParaRPr lang="en-US" sz="1000">
                      <a:cs typeface="+mj-cs"/>
                    </a:endParaRPr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10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j-cs"/>
                    </a:defRPr>
                  </a:pPr>
                  <a:endParaRPr lang="en-US"/>
                </a:p>
              </c:txPr>
            </c:trendlineLbl>
          </c:trendline>
          <c:cat>
            <c:strRef>
              <c:f>Chart2!$O$3:$O$22</c:f>
              <c:strCache>
                <c:ptCount val="20"/>
                <c:pt idx="0">
                  <c:v>&gt;50</c:v>
                </c:pt>
                <c:pt idx="1">
                  <c:v>100</c:v>
                </c:pt>
                <c:pt idx="2">
                  <c:v>150</c:v>
                </c:pt>
                <c:pt idx="3">
                  <c:v>200</c:v>
                </c:pt>
                <c:pt idx="4">
                  <c:v>250</c:v>
                </c:pt>
                <c:pt idx="5">
                  <c:v>300</c:v>
                </c:pt>
                <c:pt idx="6">
                  <c:v>350</c:v>
                </c:pt>
                <c:pt idx="7">
                  <c:v>400</c:v>
                </c:pt>
                <c:pt idx="8">
                  <c:v>450</c:v>
                </c:pt>
                <c:pt idx="9">
                  <c:v>500</c:v>
                </c:pt>
                <c:pt idx="10">
                  <c:v>550</c:v>
                </c:pt>
                <c:pt idx="11">
                  <c:v>600</c:v>
                </c:pt>
                <c:pt idx="12">
                  <c:v>650</c:v>
                </c:pt>
                <c:pt idx="13">
                  <c:v>700</c:v>
                </c:pt>
                <c:pt idx="14">
                  <c:v>750</c:v>
                </c:pt>
                <c:pt idx="15">
                  <c:v>800</c:v>
                </c:pt>
                <c:pt idx="16">
                  <c:v>850</c:v>
                </c:pt>
                <c:pt idx="17">
                  <c:v>900</c:v>
                </c:pt>
                <c:pt idx="18">
                  <c:v>950</c:v>
                </c:pt>
                <c:pt idx="19">
                  <c:v>&lt;1000</c:v>
                </c:pt>
              </c:strCache>
            </c:strRef>
          </c:cat>
          <c:val>
            <c:numRef>
              <c:f>Chart2!$P$3:$P$22</c:f>
              <c:numCache>
                <c:formatCode>General</c:formatCode>
                <c:ptCount val="20"/>
                <c:pt idx="0">
                  <c:v>31.5</c:v>
                </c:pt>
                <c:pt idx="1">
                  <c:v>52.74</c:v>
                </c:pt>
                <c:pt idx="2">
                  <c:v>67.5</c:v>
                </c:pt>
                <c:pt idx="3">
                  <c:v>75.599999999999994</c:v>
                </c:pt>
                <c:pt idx="4">
                  <c:v>79.599999999999994</c:v>
                </c:pt>
                <c:pt idx="5">
                  <c:v>86.4</c:v>
                </c:pt>
                <c:pt idx="6">
                  <c:v>93</c:v>
                </c:pt>
                <c:pt idx="7">
                  <c:v>108</c:v>
                </c:pt>
                <c:pt idx="8">
                  <c:v>124.2</c:v>
                </c:pt>
                <c:pt idx="9">
                  <c:v>128</c:v>
                </c:pt>
                <c:pt idx="10">
                  <c:v>130.19999999999999</c:v>
                </c:pt>
                <c:pt idx="11">
                  <c:v>138.6</c:v>
                </c:pt>
                <c:pt idx="12">
                  <c:v>148.5</c:v>
                </c:pt>
                <c:pt idx="13">
                  <c:v>152</c:v>
                </c:pt>
                <c:pt idx="17">
                  <c:v>187.5</c:v>
                </c:pt>
                <c:pt idx="18">
                  <c:v>195.5</c:v>
                </c:pt>
                <c:pt idx="19">
                  <c:v>219.4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Chart2!$Q$2</c:f>
              <c:strCache>
                <c:ptCount val="1"/>
                <c:pt idx="0">
                  <c:v> hornbeam (Pure stand)</c:v>
                </c:pt>
              </c:strCache>
            </c:strRef>
          </c:tx>
          <c:spPr>
            <a:ln w="28575" cap="rnd">
              <a:noFill/>
              <a:round/>
            </a:ln>
            <a:effectLst/>
          </c:spPr>
          <c:marker>
            <c:symbol val="diamond"/>
            <c:size val="7"/>
            <c:spPr>
              <a:solidFill>
                <a:schemeClr val="bg2">
                  <a:lumMod val="25000"/>
                </a:schemeClr>
              </a:solidFill>
              <a:ln w="9525">
                <a:solidFill>
                  <a:schemeClr val="accent2"/>
                </a:solidFill>
              </a:ln>
              <a:effectLst/>
            </c:spPr>
          </c:marker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power"/>
            <c:dispRSqr val="1"/>
            <c:dispEq val="1"/>
            <c:trendlineLbl>
              <c:layout>
                <c:manualLayout>
                  <c:x val="2.0471642565591849E-2"/>
                  <c:y val="0.45991034892663651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 rtl="0">
                      <a:defRPr sz="10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j-cs"/>
                      </a:defRPr>
                    </a:pPr>
                    <a:r>
                      <a:rPr lang="en-US" sz="1000" baseline="0"/>
                      <a:t>R</a:t>
                    </a:r>
                    <a:r>
                      <a:rPr lang="en-US" sz="1000" baseline="30000"/>
                      <a:t>2</a:t>
                    </a:r>
                    <a:r>
                      <a:rPr lang="en-US" sz="1000" baseline="0"/>
                      <a:t>=0.92</a:t>
                    </a:r>
                    <a:endParaRPr lang="fa-IR" sz="1000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 rtl="0">
                    <a:defRPr sz="10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j-cs"/>
                    </a:defRPr>
                  </a:pPr>
                  <a:endParaRPr lang="en-US"/>
                </a:p>
              </c:txPr>
            </c:trendlineLbl>
          </c:trendline>
          <c:cat>
            <c:strRef>
              <c:f>Chart2!$O$3:$O$22</c:f>
              <c:strCache>
                <c:ptCount val="20"/>
                <c:pt idx="0">
                  <c:v>&gt;50</c:v>
                </c:pt>
                <c:pt idx="1">
                  <c:v>100</c:v>
                </c:pt>
                <c:pt idx="2">
                  <c:v>150</c:v>
                </c:pt>
                <c:pt idx="3">
                  <c:v>200</c:v>
                </c:pt>
                <c:pt idx="4">
                  <c:v>250</c:v>
                </c:pt>
                <c:pt idx="5">
                  <c:v>300</c:v>
                </c:pt>
                <c:pt idx="6">
                  <c:v>350</c:v>
                </c:pt>
                <c:pt idx="7">
                  <c:v>400</c:v>
                </c:pt>
                <c:pt idx="8">
                  <c:v>450</c:v>
                </c:pt>
                <c:pt idx="9">
                  <c:v>500</c:v>
                </c:pt>
                <c:pt idx="10">
                  <c:v>550</c:v>
                </c:pt>
                <c:pt idx="11">
                  <c:v>600</c:v>
                </c:pt>
                <c:pt idx="12">
                  <c:v>650</c:v>
                </c:pt>
                <c:pt idx="13">
                  <c:v>700</c:v>
                </c:pt>
                <c:pt idx="14">
                  <c:v>750</c:v>
                </c:pt>
                <c:pt idx="15">
                  <c:v>800</c:v>
                </c:pt>
                <c:pt idx="16">
                  <c:v>850</c:v>
                </c:pt>
                <c:pt idx="17">
                  <c:v>900</c:v>
                </c:pt>
                <c:pt idx="18">
                  <c:v>950</c:v>
                </c:pt>
                <c:pt idx="19">
                  <c:v>&lt;1000</c:v>
                </c:pt>
              </c:strCache>
            </c:strRef>
          </c:cat>
          <c:val>
            <c:numRef>
              <c:f>Chart2!$Q$3:$Q$22</c:f>
              <c:numCache>
                <c:formatCode>General</c:formatCode>
                <c:ptCount val="20"/>
                <c:pt idx="1">
                  <c:v>54.851200000000006</c:v>
                </c:pt>
                <c:pt idx="2">
                  <c:v>66.990400000000008</c:v>
                </c:pt>
                <c:pt idx="3">
                  <c:v>77.218800000000016</c:v>
                </c:pt>
                <c:pt idx="4">
                  <c:v>81.490000000000009</c:v>
                </c:pt>
                <c:pt idx="5">
                  <c:v>96.664000000000016</c:v>
                </c:pt>
                <c:pt idx="6">
                  <c:v>100.82280000000002</c:v>
                </c:pt>
                <c:pt idx="7">
                  <c:v>107.45440000000001</c:v>
                </c:pt>
                <c:pt idx="8">
                  <c:v>119.14400000000001</c:v>
                </c:pt>
                <c:pt idx="9">
                  <c:v>129.26000000000002</c:v>
                </c:pt>
                <c:pt idx="10">
                  <c:v>153</c:v>
                </c:pt>
                <c:pt idx="11">
                  <c:v>164.5</c:v>
                </c:pt>
                <c:pt idx="18">
                  <c:v>212.43600000000001</c:v>
                </c:pt>
                <c:pt idx="19">
                  <c:v>238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Chart2!$R$2</c:f>
              <c:strCache>
                <c:ptCount val="1"/>
                <c:pt idx="0">
                  <c:v>Beech-Hornbeam (Mixed stand)</c:v>
                </c:pt>
              </c:strCache>
            </c:strRef>
          </c:tx>
          <c:spPr>
            <a:ln w="28575" cap="rnd">
              <a:noFill/>
              <a:prstDash val="dash"/>
              <a:round/>
            </a:ln>
            <a:effectLst/>
          </c:spPr>
          <c:marker>
            <c:symbol val="triangle"/>
            <c:size val="8"/>
            <c:spPr>
              <a:solidFill>
                <a:schemeClr val="tx1">
                  <a:lumMod val="65000"/>
                  <a:lumOff val="35000"/>
                </a:schemeClr>
              </a:solidFill>
              <a:ln w="9525">
                <a:solidFill>
                  <a:schemeClr val="accent3"/>
                </a:solidFill>
              </a:ln>
              <a:effectLst/>
            </c:spPr>
          </c:marker>
          <c:trendline>
            <c:spPr>
              <a:ln w="12700" cap="flat" cmpd="sng" algn="ctr">
                <a:solidFill>
                  <a:schemeClr val="dk1">
                    <a:shade val="95000"/>
                    <a:satMod val="105000"/>
                  </a:schemeClr>
                </a:solidFill>
                <a:prstDash val="solid"/>
              </a:ln>
              <a:effectLst/>
            </c:spPr>
            <c:trendlineType val="log"/>
            <c:dispRSqr val="0"/>
            <c:dispEq val="0"/>
          </c:trendline>
          <c:trendline>
            <c:spPr>
              <a:ln w="19050" cap="rnd">
                <a:solidFill>
                  <a:schemeClr val="accent3"/>
                </a:solidFill>
                <a:prstDash val="sysDot"/>
              </a:ln>
              <a:effectLst/>
            </c:spPr>
            <c:trendlineType val="power"/>
            <c:dispRSqr val="1"/>
            <c:dispEq val="1"/>
            <c:trendlineLbl>
              <c:layout>
                <c:manualLayout>
                  <c:x val="1.2867079827949263E-2"/>
                  <c:y val="0.63347236044047894"/>
                </c:manualLayout>
              </c:layout>
              <c:tx>
                <c:rich>
                  <a:bodyPr rot="0" spcFirstLastPara="1" vertOverflow="ellipsis" vert="horz" wrap="square" anchor="ctr" anchorCtr="1"/>
                  <a:lstStyle/>
                  <a:p>
                    <a:pPr rtl="0">
                      <a:defRPr sz="1000" b="0" i="0" u="none" strike="noStrike" kern="1200" baseline="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atin typeface="+mn-lt"/>
                        <a:ea typeface="+mn-ea"/>
                        <a:cs typeface="+mj-cs"/>
                      </a:defRPr>
                    </a:pPr>
                    <a:r>
                      <a:rPr lang="en-US" sz="1000" baseline="0"/>
                      <a:t>R</a:t>
                    </a:r>
                    <a:r>
                      <a:rPr lang="en-US" sz="1000" baseline="30000"/>
                      <a:t>2</a:t>
                    </a:r>
                    <a:r>
                      <a:rPr lang="en-US" sz="1000" baseline="0"/>
                      <a:t>=0.84</a:t>
                    </a:r>
                    <a:endParaRPr lang="fa-IR" sz="1000"/>
                  </a:p>
                </c:rich>
              </c:tx>
              <c:numFmt formatCode="General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 rtl="0">
                    <a:defRPr sz="1000" b="0" i="0" u="none" strike="noStrike" kern="1200" baseline="0"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j-cs"/>
                    </a:defRPr>
                  </a:pPr>
                  <a:endParaRPr lang="en-US"/>
                </a:p>
              </c:txPr>
            </c:trendlineLbl>
          </c:trendline>
          <c:cat>
            <c:strRef>
              <c:f>Chart2!$O$3:$O$22</c:f>
              <c:strCache>
                <c:ptCount val="20"/>
                <c:pt idx="0">
                  <c:v>&gt;50</c:v>
                </c:pt>
                <c:pt idx="1">
                  <c:v>100</c:v>
                </c:pt>
                <c:pt idx="2">
                  <c:v>150</c:v>
                </c:pt>
                <c:pt idx="3">
                  <c:v>200</c:v>
                </c:pt>
                <c:pt idx="4">
                  <c:v>250</c:v>
                </c:pt>
                <c:pt idx="5">
                  <c:v>300</c:v>
                </c:pt>
                <c:pt idx="6">
                  <c:v>350</c:v>
                </c:pt>
                <c:pt idx="7">
                  <c:v>400</c:v>
                </c:pt>
                <c:pt idx="8">
                  <c:v>450</c:v>
                </c:pt>
                <c:pt idx="9">
                  <c:v>500</c:v>
                </c:pt>
                <c:pt idx="10">
                  <c:v>550</c:v>
                </c:pt>
                <c:pt idx="11">
                  <c:v>600</c:v>
                </c:pt>
                <c:pt idx="12">
                  <c:v>650</c:v>
                </c:pt>
                <c:pt idx="13">
                  <c:v>700</c:v>
                </c:pt>
                <c:pt idx="14">
                  <c:v>750</c:v>
                </c:pt>
                <c:pt idx="15">
                  <c:v>800</c:v>
                </c:pt>
                <c:pt idx="16">
                  <c:v>850</c:v>
                </c:pt>
                <c:pt idx="17">
                  <c:v>900</c:v>
                </c:pt>
                <c:pt idx="18">
                  <c:v>950</c:v>
                </c:pt>
                <c:pt idx="19">
                  <c:v>&lt;1000</c:v>
                </c:pt>
              </c:strCache>
            </c:strRef>
          </c:cat>
          <c:val>
            <c:numRef>
              <c:f>Chart2!$R$3:$R$22</c:f>
              <c:numCache>
                <c:formatCode>General</c:formatCode>
                <c:ptCount val="20"/>
                <c:pt idx="0">
                  <c:v>39.6</c:v>
                </c:pt>
                <c:pt idx="2">
                  <c:v>72.3</c:v>
                </c:pt>
                <c:pt idx="3">
                  <c:v>78.599999999999994</c:v>
                </c:pt>
                <c:pt idx="4">
                  <c:v>81.2</c:v>
                </c:pt>
                <c:pt idx="5">
                  <c:v>92.5</c:v>
                </c:pt>
                <c:pt idx="6">
                  <c:v>113</c:v>
                </c:pt>
                <c:pt idx="7">
                  <c:v>128.5</c:v>
                </c:pt>
                <c:pt idx="9">
                  <c:v>198.6</c:v>
                </c:pt>
                <c:pt idx="10">
                  <c:v>215</c:v>
                </c:pt>
                <c:pt idx="16">
                  <c:v>185</c:v>
                </c:pt>
                <c:pt idx="17">
                  <c:v>196.4</c:v>
                </c:pt>
                <c:pt idx="18">
                  <c:v>224.8</c:v>
                </c:pt>
                <c:pt idx="19">
                  <c:v>240.2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-153215152"/>
        <c:axId val="-153204272"/>
      </c:lineChart>
      <c:catAx>
        <c:axId val="-15321515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j-cs"/>
                  </a:defRPr>
                </a:pPr>
                <a:r>
                  <a:rPr lang="en-US" sz="1100">
                    <a:cs typeface="+mj-cs"/>
                  </a:rPr>
                  <a:t>Gap area (m²)</a:t>
                </a:r>
              </a:p>
            </c:rich>
          </c:tx>
          <c:layout>
            <c:manualLayout>
              <c:xMode val="edge"/>
              <c:yMode val="edge"/>
              <c:x val="0.4654711420458108"/>
              <c:y val="0.91214521500472767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j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shade val="95000"/>
                <a:satMod val="105000"/>
              </a:schemeClr>
            </a:solidFill>
            <a:prstDash val="solid"/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j-cs"/>
              </a:defRPr>
            </a:pPr>
            <a:endParaRPr lang="en-US"/>
          </a:p>
        </c:txPr>
        <c:crossAx val="-153204272"/>
        <c:crosses val="autoZero"/>
        <c:auto val="1"/>
        <c:lblAlgn val="ctr"/>
        <c:lblOffset val="100"/>
        <c:tickLblSkip val="2"/>
        <c:noMultiLvlLbl val="0"/>
      </c:catAx>
      <c:valAx>
        <c:axId val="-153204272"/>
        <c:scaling>
          <c:orientation val="minMax"/>
          <c:max val="250"/>
          <c:min val="0"/>
        </c:scaling>
        <c:delete val="0"/>
        <c:axPos val="l"/>
        <c:majorGridlines>
          <c:spPr>
            <a:ln w="12700" cap="flat" cmpd="sng" algn="ctr">
              <a:noFill/>
              <a:prstDash val="solid"/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1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j-cs"/>
                  </a:defRPr>
                </a:pPr>
                <a:r>
                  <a:rPr lang="en-US" sz="1100" b="0">
                    <a:cs typeface="+mj-cs"/>
                  </a:rPr>
                  <a:t>Gap perimeter (m)</a:t>
                </a:r>
              </a:p>
            </c:rich>
          </c:tx>
          <c:layout>
            <c:manualLayout>
              <c:xMode val="edge"/>
              <c:yMode val="edge"/>
              <c:x val="2.1330138080566018E-2"/>
              <c:y val="0.23776534412680059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1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j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j-cs"/>
              </a:defRPr>
            </a:pPr>
            <a:endParaRPr lang="en-US"/>
          </a:p>
        </c:txPr>
        <c:crossAx val="-153215152"/>
        <c:crosses val="autoZero"/>
        <c:crossBetween val="between"/>
        <c:majorUnit val="50"/>
      </c:valAx>
      <c:spPr>
        <a:solidFill>
          <a:sysClr val="window" lastClr="FFFFFF"/>
        </a:solidFill>
        <a:ln w="12700" cap="flat" cmpd="sng" algn="ctr">
          <a:solidFill>
            <a:sysClr val="windowText" lastClr="000000"/>
          </a:solidFill>
          <a:prstDash val="solid"/>
        </a:ln>
        <a:effectLst/>
      </c:spPr>
    </c:plotArea>
    <c:legend>
      <c:legendPos val="b"/>
      <c:legendEntry>
        <c:idx val="3"/>
        <c:delete val="1"/>
      </c:legendEntry>
      <c:legendEntry>
        <c:idx val="4"/>
        <c:delete val="1"/>
      </c:legendEntry>
      <c:legendEntry>
        <c:idx val="5"/>
        <c:delete val="1"/>
      </c:legendEntry>
      <c:legendEntry>
        <c:idx val="6"/>
        <c:delete val="1"/>
      </c:legendEntry>
      <c:layout>
        <c:manualLayout>
          <c:xMode val="edge"/>
          <c:yMode val="edge"/>
          <c:x val="0.40302346237138609"/>
          <c:y val="0.47385645208532096"/>
          <c:w val="0.50147377999286535"/>
          <c:h val="0.3113355337870127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j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 sz="1050">
          <a:cs typeface="+mj-cs"/>
        </a:defRPr>
      </a:pPr>
      <a:endParaRPr lang="en-U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User</cp:lastModifiedBy>
  <cp:revision>1</cp:revision>
  <dcterms:created xsi:type="dcterms:W3CDTF">2018-01-25T06:32:00Z</dcterms:created>
  <dcterms:modified xsi:type="dcterms:W3CDTF">2019-08-29T10:18:00Z</dcterms:modified>
</cp:coreProperties>
</file>