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1B" w:rsidRPr="0031627E" w:rsidRDefault="0014591B" w:rsidP="00145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591B" w:rsidRPr="001117B1" w:rsidRDefault="0014591B" w:rsidP="00111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17B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Table 1-</w:t>
      </w:r>
      <w:r w:rsidRPr="001117B1">
        <w:rPr>
          <w:rFonts w:ascii="Times New Roman" w:hAnsi="Times New Roman" w:cs="Times New Roman"/>
          <w:color w:val="000000"/>
          <w:sz w:val="20"/>
          <w:szCs w:val="20"/>
        </w:rPr>
        <w:t xml:space="preserve"> Biomass, carbon fraction and carbon content of two forms of </w:t>
      </w:r>
      <w:r w:rsidR="001117B1" w:rsidRPr="001117B1">
        <w:rPr>
          <w:rFonts w:ascii="Times New Roman" w:hAnsi="Times New Roman" w:cs="Times New Roman"/>
          <w:sz w:val="20"/>
          <w:szCs w:val="20"/>
          <w:lang w:bidi="fa-IR"/>
        </w:rPr>
        <w:t xml:space="preserve">Brant's Oak </w:t>
      </w:r>
      <w:r w:rsidRPr="001117B1">
        <w:rPr>
          <w:rFonts w:ascii="Times New Roman" w:hAnsi="Times New Roman" w:cs="Times New Roman"/>
          <w:color w:val="000000"/>
          <w:sz w:val="20"/>
          <w:szCs w:val="20"/>
        </w:rPr>
        <w:t xml:space="preserve">in different component </w:t>
      </w:r>
      <w:r w:rsidRPr="001117B1">
        <w:rPr>
          <w:rFonts w:ascii="Times New Roman" w:hAnsi="Times New Roman" w:cs="Times New Roman"/>
          <w:sz w:val="20"/>
          <w:szCs w:val="20"/>
          <w:lang w:bidi="fa-IR"/>
        </w:rPr>
        <w:t>(mean ± S.E.)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3"/>
        <w:gridCol w:w="1985"/>
        <w:gridCol w:w="1842"/>
        <w:gridCol w:w="1701"/>
        <w:gridCol w:w="1276"/>
      </w:tblGrid>
      <w:tr w:rsidR="0014591B" w:rsidRPr="0031627E" w:rsidTr="00AE62FA">
        <w:trPr>
          <w:trHeight w:val="195"/>
        </w:trPr>
        <w:tc>
          <w:tcPr>
            <w:tcW w:w="1753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1842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Biomass</w:t>
            </w:r>
          </w:p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(kg)</w:t>
            </w:r>
          </w:p>
        </w:tc>
        <w:tc>
          <w:tcPr>
            <w:tcW w:w="1701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Carbon Fraction (%)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Carbon</w:t>
            </w:r>
          </w:p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(kg)</w:t>
            </w:r>
          </w:p>
        </w:tc>
      </w:tr>
      <w:tr w:rsidR="0014591B" w:rsidRPr="0031627E" w:rsidTr="00AE62FA">
        <w:trPr>
          <w:trHeight w:val="60"/>
        </w:trPr>
        <w:tc>
          <w:tcPr>
            <w:tcW w:w="1753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Leaf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2.8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1.3</w:t>
            </w:r>
          </w:p>
        </w:tc>
      </w:tr>
      <w:tr w:rsidR="0014591B" w:rsidRPr="0031627E" w:rsidTr="00AE62FA">
        <w:trPr>
          <w:trHeight w:val="225"/>
        </w:trPr>
        <w:tc>
          <w:tcPr>
            <w:tcW w:w="1753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Twig</w:t>
            </w:r>
          </w:p>
        </w:tc>
        <w:tc>
          <w:tcPr>
            <w:tcW w:w="1842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2.6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48. 1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1.2</w:t>
            </w:r>
          </w:p>
        </w:tc>
      </w:tr>
      <w:tr w:rsidR="0014591B" w:rsidRPr="0031627E" w:rsidTr="00AE62FA">
        <w:trPr>
          <w:trHeight w:val="45"/>
        </w:trPr>
        <w:tc>
          <w:tcPr>
            <w:tcW w:w="1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sz w:val="20"/>
                <w:szCs w:val="20"/>
              </w:rPr>
              <w:t>individuals with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Lateral Branches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89.4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25.5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2.4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sz w:val="20"/>
                <w:szCs w:val="20"/>
              </w:rPr>
              <w:t>single stem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Main Branches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115.6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24.8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55.9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19.6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Bole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96.4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.0                               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46.8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11.2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Stump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8.1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3.9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359.9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82.9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174.2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46.3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.0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Twig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1.6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48. 1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0.8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Lateral Branches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3.7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1.8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Coppice Shoots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Main Branches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9.1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4.4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Bole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14.7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7.1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Stump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3.9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1.9</w:t>
            </w:r>
          </w:p>
        </w:tc>
      </w:tr>
      <w:tr w:rsidR="0014591B" w:rsidRPr="0031627E" w:rsidTr="00AE62FA">
        <w:tc>
          <w:tcPr>
            <w:tcW w:w="1753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144.2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 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16.5</w:t>
            </w:r>
          </w:p>
        </w:tc>
      </w:tr>
    </w:tbl>
    <w:p w:rsidR="0014591B" w:rsidRPr="0031627E" w:rsidRDefault="0014591B" w:rsidP="00145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591B" w:rsidRPr="004E0157" w:rsidRDefault="0014591B" w:rsidP="00145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0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Table 2 -</w:t>
      </w:r>
      <w:r w:rsidRPr="004E01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157">
        <w:rPr>
          <w:rFonts w:ascii="Times New Roman" w:hAnsi="Times New Roman" w:cs="Times New Roman"/>
          <w:sz w:val="20"/>
          <w:szCs w:val="20"/>
        </w:rPr>
        <w:t>Test statistics of</w:t>
      </w:r>
      <w:r w:rsidRPr="004E0157">
        <w:rPr>
          <w:rFonts w:ascii="Times New Roman" w:hAnsi="Times New Roman" w:cs="Times New Roman"/>
          <w:color w:val="000000"/>
          <w:sz w:val="20"/>
          <w:szCs w:val="20"/>
        </w:rPr>
        <w:t xml:space="preserve"> the BEFs based on Crown Volume from </w:t>
      </w:r>
      <w:r w:rsidRPr="004E0157">
        <w:rPr>
          <w:rFonts w:ascii="Times New Roman" w:hAnsi="Times New Roman" w:cs="Times New Roman"/>
          <w:sz w:val="20"/>
          <w:szCs w:val="20"/>
        </w:rPr>
        <w:t>individual trees with single stem. Bias refers to the mean of differences between observed and predicted diameters</w:t>
      </w:r>
      <w:r>
        <w:rPr>
          <w:rFonts w:ascii="Times New Roman" w:hAnsi="Times New Roman" w:cs="Times New Roman"/>
          <w:sz w:val="20"/>
          <w:szCs w:val="20"/>
        </w:rPr>
        <w:t xml:space="preserve"> in </w:t>
      </w:r>
      <w:r w:rsidRPr="004E0157">
        <w:rPr>
          <w:rFonts w:ascii="Times New Roman" w:hAnsi="Times New Roman" w:cs="Times New Roman"/>
          <w:sz w:val="20"/>
          <w:szCs w:val="20"/>
        </w:rPr>
        <w:t>percent (%)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0157">
        <w:rPr>
          <w:rFonts w:ascii="Times New Roman" w:hAnsi="Times New Roman" w:cs="Times New Roman"/>
          <w:sz w:val="20"/>
          <w:szCs w:val="20"/>
        </w:rPr>
        <w:t xml:space="preserve">from mean biomass. RMSE refers to the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4E0157">
        <w:rPr>
          <w:rFonts w:ascii="Times New Roman" w:hAnsi="Times New Roman" w:cs="Times New Roman"/>
          <w:sz w:val="20"/>
          <w:szCs w:val="20"/>
        </w:rPr>
        <w:t>oot mean squared error.</w:t>
      </w:r>
      <w:r>
        <w:rPr>
          <w:rFonts w:ascii="Times New Roman" w:hAnsi="Times New Roman" w:cs="Times New Roman"/>
          <w:sz w:val="20"/>
          <w:szCs w:val="20"/>
        </w:rPr>
        <w:t xml:space="preserve"> * refers to </w:t>
      </w:r>
      <w:r>
        <w:rPr>
          <w:rFonts w:ascii="Times New Roman" w:hAnsi="Times New Roman" w:cs="Times New Roman"/>
          <w:i/>
          <w:iCs/>
          <w:sz w:val="20"/>
          <w:szCs w:val="20"/>
          <w:lang w:bidi="fa-IR"/>
        </w:rPr>
        <w:t>ρ</w:t>
      </w:r>
      <w:r w:rsidRPr="004E0157">
        <w:rPr>
          <w:rFonts w:ascii="Times New Roman" w:hAnsi="Times New Roman" w:cs="Times New Roman"/>
          <w:i/>
          <w:iCs/>
          <w:sz w:val="20"/>
          <w:szCs w:val="20"/>
          <w:lang w:bidi="fa-IR"/>
        </w:rPr>
        <w:t xml:space="preserve"> </w:t>
      </w:r>
      <w:r w:rsidRPr="004E0157">
        <w:rPr>
          <w:rFonts w:ascii="Times New Roman" w:hAnsi="Times New Roman" w:cs="Times New Roman"/>
          <w:sz w:val="20"/>
          <w:szCs w:val="20"/>
          <w:lang w:bidi="fa-IR"/>
        </w:rPr>
        <w:t>&lt; 0.05</w:t>
      </w:r>
      <w:r>
        <w:rPr>
          <w:rFonts w:ascii="Times New Roman" w:hAnsi="Times New Roman" w:cs="Times New Roman"/>
          <w:sz w:val="20"/>
          <w:szCs w:val="20"/>
          <w:lang w:bidi="fa-IR"/>
        </w:rPr>
        <w:t xml:space="preserve"> and ns to non-significant.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7"/>
        <w:gridCol w:w="1683"/>
        <w:gridCol w:w="2165"/>
        <w:gridCol w:w="648"/>
        <w:gridCol w:w="705"/>
        <w:gridCol w:w="1040"/>
        <w:gridCol w:w="1068"/>
      </w:tblGrid>
      <w:tr w:rsidR="0014591B" w:rsidRPr="0031627E" w:rsidTr="00AE62FA">
        <w:trPr>
          <w:trHeight w:val="195"/>
        </w:trPr>
        <w:tc>
          <w:tcPr>
            <w:tcW w:w="171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511873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8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180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511873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8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 Biomass (kg)</w:t>
            </w:r>
          </w:p>
        </w:tc>
        <w:tc>
          <w:tcPr>
            <w:tcW w:w="234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511873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8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Predicted Biomass (kg)</w:t>
            </w:r>
          </w:p>
        </w:tc>
        <w:tc>
          <w:tcPr>
            <w:tcW w:w="666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511873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8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511873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8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BEF</w:t>
            </w:r>
          </w:p>
        </w:tc>
        <w:tc>
          <w:tcPr>
            <w:tcW w:w="108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511873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8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%Bias</w:t>
            </w:r>
          </w:p>
        </w:tc>
        <w:tc>
          <w:tcPr>
            <w:tcW w:w="108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511873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8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%RMSE</w:t>
            </w:r>
          </w:p>
        </w:tc>
      </w:tr>
      <w:tr w:rsidR="0014591B" w:rsidRPr="0031627E" w:rsidTr="00AE62FA">
        <w:trPr>
          <w:trHeight w:val="60"/>
        </w:trPr>
        <w:tc>
          <w:tcPr>
            <w:tcW w:w="171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Leaf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2.8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5.1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110.51</w:t>
            </w:r>
          </w:p>
        </w:tc>
      </w:tr>
      <w:tr w:rsidR="0014591B" w:rsidRPr="0031627E" w:rsidTr="00AE62FA">
        <w:trPr>
          <w:trHeight w:val="225"/>
        </w:trPr>
        <w:tc>
          <w:tcPr>
            <w:tcW w:w="171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Twig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2.6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5.7</w:t>
            </w:r>
          </w:p>
        </w:tc>
        <w:tc>
          <w:tcPr>
            <w:tcW w:w="66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49.11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113.23</w:t>
            </w:r>
          </w:p>
        </w:tc>
      </w:tr>
      <w:tr w:rsidR="0014591B" w:rsidRPr="0031627E" w:rsidTr="00AE62FA">
        <w:trPr>
          <w:trHeight w:val="45"/>
        </w:trPr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Lateral Branches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89.4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25.5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18.1</w:t>
            </w:r>
          </w:p>
        </w:tc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-18.34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52.38</w:t>
            </w:r>
          </w:p>
        </w:tc>
      </w:tr>
      <w:tr w:rsidR="0014591B" w:rsidRPr="0031627E" w:rsidTr="00AE62FA"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Main Branches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115.6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24.8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83.2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20.7</w:t>
            </w:r>
          </w:p>
        </w:tc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-28.06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80.12</w:t>
            </w:r>
          </w:p>
        </w:tc>
      </w:tr>
      <w:tr w:rsidR="0014591B" w:rsidRPr="0031627E" w:rsidTr="00AE62FA"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Bole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96.4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23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100.8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25</w:t>
            </w:r>
          </w:p>
        </w:tc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29.34</w:t>
            </w:r>
          </w:p>
        </w:tc>
      </w:tr>
      <w:tr w:rsidR="0014591B" w:rsidRPr="0031627E" w:rsidTr="00AE62FA">
        <w:tc>
          <w:tcPr>
            <w:tcW w:w="171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a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bove-ground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359.9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82.9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325.7 ±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>80.9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22.81</w:t>
            </w:r>
          </w:p>
        </w:tc>
      </w:tr>
    </w:tbl>
    <w:p w:rsidR="0014591B" w:rsidRPr="0031627E" w:rsidRDefault="0014591B" w:rsidP="00145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591B" w:rsidRPr="004E0157" w:rsidRDefault="0014591B" w:rsidP="00A04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E0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Table </w:t>
      </w:r>
      <w:r w:rsidR="00A0471A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bookmarkStart w:id="0" w:name="_GoBack"/>
      <w:bookmarkEnd w:id="0"/>
      <w:r w:rsidRPr="004E0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-</w:t>
      </w:r>
      <w:r w:rsidRPr="004E0157">
        <w:rPr>
          <w:rFonts w:ascii="Times New Roman" w:hAnsi="Times New Roman" w:cs="Times New Roman"/>
          <w:color w:val="000000"/>
          <w:sz w:val="20"/>
          <w:szCs w:val="20"/>
        </w:rPr>
        <w:t xml:space="preserve"> Test statistics of the BEFs based on "Crown </w:t>
      </w:r>
      <w:proofErr w:type="spellStart"/>
      <w:r w:rsidRPr="004E0157">
        <w:rPr>
          <w:rFonts w:ascii="Times New Roman" w:hAnsi="Times New Roman" w:cs="Times New Roman"/>
          <w:color w:val="000000"/>
          <w:sz w:val="20"/>
          <w:szCs w:val="20"/>
        </w:rPr>
        <w:t>diameter×crown</w:t>
      </w:r>
      <w:proofErr w:type="spellEnd"/>
      <w:r w:rsidRPr="004E01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0157">
        <w:rPr>
          <w:rFonts w:ascii="Times New Roman" w:hAnsi="Times New Roman" w:cs="Times New Roman"/>
          <w:color w:val="000000"/>
          <w:sz w:val="20"/>
          <w:szCs w:val="20"/>
        </w:rPr>
        <w:t>height×shoot</w:t>
      </w:r>
      <w:proofErr w:type="spellEnd"/>
      <w:r w:rsidRPr="004E0157">
        <w:rPr>
          <w:rFonts w:ascii="Times New Roman" w:hAnsi="Times New Roman" w:cs="Times New Roman"/>
          <w:color w:val="000000"/>
          <w:sz w:val="20"/>
          <w:szCs w:val="20"/>
        </w:rPr>
        <w:t xml:space="preserve"> density"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variables of</w:t>
      </w:r>
      <w:r w:rsidRPr="004E0157">
        <w:rPr>
          <w:rFonts w:ascii="Times New Roman" w:hAnsi="Times New Roman" w:cs="Times New Roman"/>
          <w:color w:val="000000"/>
          <w:sz w:val="20"/>
          <w:szCs w:val="20"/>
        </w:rPr>
        <w:t xml:space="preserve"> coppice shoots. Bias refers to the mean of differences between observed and predicted diameters in proportional terms (%) percent from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4E0157">
        <w:rPr>
          <w:rFonts w:ascii="Times New Roman" w:hAnsi="Times New Roman" w:cs="Times New Roman"/>
          <w:color w:val="000000"/>
          <w:sz w:val="20"/>
          <w:szCs w:val="20"/>
        </w:rPr>
        <w:t>mean biomass. RMSE</w:t>
      </w:r>
      <w:r w:rsidRPr="004E0157">
        <w:rPr>
          <w:rFonts w:ascii="Times New Roman" w:hAnsi="Times New Roman" w:cs="Times New Roman"/>
          <w:sz w:val="20"/>
          <w:szCs w:val="20"/>
        </w:rPr>
        <w:t xml:space="preserve"> refers to the Root mean squared error.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7"/>
        <w:gridCol w:w="1683"/>
        <w:gridCol w:w="2165"/>
        <w:gridCol w:w="648"/>
        <w:gridCol w:w="705"/>
        <w:gridCol w:w="1040"/>
        <w:gridCol w:w="1068"/>
      </w:tblGrid>
      <w:tr w:rsidR="0014591B" w:rsidRPr="0031627E" w:rsidTr="00AE62FA">
        <w:trPr>
          <w:trHeight w:val="195"/>
        </w:trPr>
        <w:tc>
          <w:tcPr>
            <w:tcW w:w="171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180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Real Biomass (kg)</w:t>
            </w:r>
          </w:p>
        </w:tc>
        <w:tc>
          <w:tcPr>
            <w:tcW w:w="234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Predicted Biomass (kg)</w:t>
            </w:r>
          </w:p>
        </w:tc>
        <w:tc>
          <w:tcPr>
            <w:tcW w:w="666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BEF</w:t>
            </w:r>
          </w:p>
        </w:tc>
        <w:tc>
          <w:tcPr>
            <w:tcW w:w="108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%Bias</w:t>
            </w:r>
          </w:p>
        </w:tc>
        <w:tc>
          <w:tcPr>
            <w:tcW w:w="1080" w:type="dxa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%RMSE</w:t>
            </w:r>
          </w:p>
        </w:tc>
      </w:tr>
      <w:tr w:rsidR="0014591B" w:rsidRPr="0031627E" w:rsidTr="00AE62FA">
        <w:trPr>
          <w:trHeight w:val="60"/>
        </w:trPr>
        <w:tc>
          <w:tcPr>
            <w:tcW w:w="171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Leaf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 ± 2.1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 ± 2.1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31.92</w:t>
            </w:r>
          </w:p>
        </w:tc>
      </w:tr>
      <w:tr w:rsidR="0014591B" w:rsidRPr="0031627E" w:rsidTr="00AE62FA">
        <w:trPr>
          <w:trHeight w:val="225"/>
        </w:trPr>
        <w:tc>
          <w:tcPr>
            <w:tcW w:w="171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Twig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 ± 1.6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 ± 1.8</w:t>
            </w:r>
          </w:p>
        </w:tc>
        <w:tc>
          <w:tcPr>
            <w:tcW w:w="66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12.46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</w:t>
            </w:r>
          </w:p>
        </w:tc>
      </w:tr>
      <w:tr w:rsidR="0014591B" w:rsidRPr="0031627E" w:rsidTr="00AE62FA">
        <w:trPr>
          <w:trHeight w:val="45"/>
        </w:trPr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Lateral Branches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 ± 3.7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 ± 3.9</w:t>
            </w:r>
          </w:p>
        </w:tc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31.82</w:t>
            </w:r>
          </w:p>
        </w:tc>
      </w:tr>
      <w:tr w:rsidR="0014591B" w:rsidRPr="0031627E" w:rsidTr="00AE62FA"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Main Branches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 ± 9.1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 ± 6.3</w:t>
            </w:r>
          </w:p>
        </w:tc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-21.92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42.87</w:t>
            </w:r>
          </w:p>
        </w:tc>
      </w:tr>
      <w:tr w:rsidR="0014591B" w:rsidRPr="0031627E" w:rsidTr="00AE62FA"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Bole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 ±14.6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 ± 9.4</w:t>
            </w:r>
          </w:p>
        </w:tc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-20.57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49.66</w:t>
            </w:r>
          </w:p>
        </w:tc>
      </w:tr>
      <w:tr w:rsidR="0014591B" w:rsidRPr="0031627E" w:rsidTr="00AE62FA">
        <w:tc>
          <w:tcPr>
            <w:tcW w:w="171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a</w:t>
            </w: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bove-ground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144.1 ± 34.1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± 25.7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4591B" w:rsidRPr="0031627E" w:rsidRDefault="0014591B" w:rsidP="00AE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34.80</w:t>
            </w:r>
          </w:p>
        </w:tc>
      </w:tr>
    </w:tbl>
    <w:p w:rsidR="0014591B" w:rsidRPr="0031627E" w:rsidRDefault="0014591B" w:rsidP="00145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776B" w:rsidRDefault="00DF776B"/>
    <w:sectPr w:rsidR="00DF776B" w:rsidSect="005F58BC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75A" w:rsidRDefault="0087775A" w:rsidP="00A72E2E">
      <w:pPr>
        <w:spacing w:after="0" w:line="240" w:lineRule="auto"/>
      </w:pPr>
      <w:r>
        <w:separator/>
      </w:r>
    </w:p>
  </w:endnote>
  <w:endnote w:type="continuationSeparator" w:id="0">
    <w:p w:rsidR="0087775A" w:rsidRDefault="0087775A" w:rsidP="00A7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PTXUZ+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75A" w:rsidRDefault="0087775A" w:rsidP="00A72E2E">
      <w:pPr>
        <w:spacing w:after="0" w:line="240" w:lineRule="auto"/>
      </w:pPr>
      <w:r>
        <w:separator/>
      </w:r>
    </w:p>
  </w:footnote>
  <w:footnote w:type="continuationSeparator" w:id="0">
    <w:p w:rsidR="0087775A" w:rsidRDefault="0087775A" w:rsidP="00A72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5C2B"/>
    <w:multiLevelType w:val="hybridMultilevel"/>
    <w:tmpl w:val="461021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91B"/>
    <w:rsid w:val="00003EEA"/>
    <w:rsid w:val="000078E4"/>
    <w:rsid w:val="000614DC"/>
    <w:rsid w:val="000A06C8"/>
    <w:rsid w:val="000A0955"/>
    <w:rsid w:val="000B5F5D"/>
    <w:rsid w:val="000C5812"/>
    <w:rsid w:val="000C73C0"/>
    <w:rsid w:val="000E10AB"/>
    <w:rsid w:val="00103574"/>
    <w:rsid w:val="0011110A"/>
    <w:rsid w:val="001117B1"/>
    <w:rsid w:val="0014591B"/>
    <w:rsid w:val="00162182"/>
    <w:rsid w:val="001733D2"/>
    <w:rsid w:val="00185A78"/>
    <w:rsid w:val="00186998"/>
    <w:rsid w:val="00187150"/>
    <w:rsid w:val="00194607"/>
    <w:rsid w:val="001C1FD3"/>
    <w:rsid w:val="001E39F7"/>
    <w:rsid w:val="001F102D"/>
    <w:rsid w:val="001F42EE"/>
    <w:rsid w:val="001F60EE"/>
    <w:rsid w:val="00244C05"/>
    <w:rsid w:val="002504BC"/>
    <w:rsid w:val="002544FF"/>
    <w:rsid w:val="002625AD"/>
    <w:rsid w:val="002633BD"/>
    <w:rsid w:val="00290D30"/>
    <w:rsid w:val="002A329B"/>
    <w:rsid w:val="002B04EF"/>
    <w:rsid w:val="002C19BB"/>
    <w:rsid w:val="002E79B6"/>
    <w:rsid w:val="002F1282"/>
    <w:rsid w:val="0030271D"/>
    <w:rsid w:val="00302E16"/>
    <w:rsid w:val="0030327A"/>
    <w:rsid w:val="00326DAA"/>
    <w:rsid w:val="00335F2D"/>
    <w:rsid w:val="00336263"/>
    <w:rsid w:val="00354769"/>
    <w:rsid w:val="003601B8"/>
    <w:rsid w:val="003C0022"/>
    <w:rsid w:val="003C15AD"/>
    <w:rsid w:val="003D6AEB"/>
    <w:rsid w:val="003E55E3"/>
    <w:rsid w:val="003F336E"/>
    <w:rsid w:val="00401AF4"/>
    <w:rsid w:val="00435B6F"/>
    <w:rsid w:val="00446E92"/>
    <w:rsid w:val="004970BE"/>
    <w:rsid w:val="004A55F1"/>
    <w:rsid w:val="004B7E3B"/>
    <w:rsid w:val="004C409C"/>
    <w:rsid w:val="004C73CB"/>
    <w:rsid w:val="004D396F"/>
    <w:rsid w:val="004E250E"/>
    <w:rsid w:val="00511D9A"/>
    <w:rsid w:val="00514A6E"/>
    <w:rsid w:val="00524D6E"/>
    <w:rsid w:val="00533DFA"/>
    <w:rsid w:val="00535FFF"/>
    <w:rsid w:val="005736FC"/>
    <w:rsid w:val="0057796A"/>
    <w:rsid w:val="005A37EA"/>
    <w:rsid w:val="005A4F5F"/>
    <w:rsid w:val="005F5EE4"/>
    <w:rsid w:val="006214E3"/>
    <w:rsid w:val="0065191E"/>
    <w:rsid w:val="006A678B"/>
    <w:rsid w:val="006A68EB"/>
    <w:rsid w:val="006B36DF"/>
    <w:rsid w:val="006B5D37"/>
    <w:rsid w:val="006D383A"/>
    <w:rsid w:val="006D3E78"/>
    <w:rsid w:val="006D6280"/>
    <w:rsid w:val="006E64FA"/>
    <w:rsid w:val="006E7713"/>
    <w:rsid w:val="00700A37"/>
    <w:rsid w:val="0072129E"/>
    <w:rsid w:val="007436E3"/>
    <w:rsid w:val="00756AAD"/>
    <w:rsid w:val="00772D23"/>
    <w:rsid w:val="007823A5"/>
    <w:rsid w:val="0079439D"/>
    <w:rsid w:val="007A7B0A"/>
    <w:rsid w:val="007B0753"/>
    <w:rsid w:val="007F0F12"/>
    <w:rsid w:val="008052EB"/>
    <w:rsid w:val="00824253"/>
    <w:rsid w:val="008740A2"/>
    <w:rsid w:val="0087775A"/>
    <w:rsid w:val="0088086C"/>
    <w:rsid w:val="008979DA"/>
    <w:rsid w:val="008A3F13"/>
    <w:rsid w:val="008B0897"/>
    <w:rsid w:val="008C046A"/>
    <w:rsid w:val="008D38C4"/>
    <w:rsid w:val="008D5612"/>
    <w:rsid w:val="008E6C3B"/>
    <w:rsid w:val="00913549"/>
    <w:rsid w:val="00947917"/>
    <w:rsid w:val="00956A04"/>
    <w:rsid w:val="00966E6B"/>
    <w:rsid w:val="00981890"/>
    <w:rsid w:val="009A0313"/>
    <w:rsid w:val="009A7C76"/>
    <w:rsid w:val="009B756E"/>
    <w:rsid w:val="009C5D86"/>
    <w:rsid w:val="009C5F06"/>
    <w:rsid w:val="009D0748"/>
    <w:rsid w:val="009E6D6D"/>
    <w:rsid w:val="009F3214"/>
    <w:rsid w:val="009F3317"/>
    <w:rsid w:val="009F6C82"/>
    <w:rsid w:val="00A0471A"/>
    <w:rsid w:val="00A17C93"/>
    <w:rsid w:val="00A20A22"/>
    <w:rsid w:val="00A37FBA"/>
    <w:rsid w:val="00A72E2E"/>
    <w:rsid w:val="00A816F6"/>
    <w:rsid w:val="00A95546"/>
    <w:rsid w:val="00AA0875"/>
    <w:rsid w:val="00AA2D98"/>
    <w:rsid w:val="00B01F5F"/>
    <w:rsid w:val="00B273DD"/>
    <w:rsid w:val="00B30654"/>
    <w:rsid w:val="00B33722"/>
    <w:rsid w:val="00B46B89"/>
    <w:rsid w:val="00B6702A"/>
    <w:rsid w:val="00B70F6A"/>
    <w:rsid w:val="00B87567"/>
    <w:rsid w:val="00BB3E34"/>
    <w:rsid w:val="00BD19CF"/>
    <w:rsid w:val="00C003E3"/>
    <w:rsid w:val="00C12500"/>
    <w:rsid w:val="00C1258E"/>
    <w:rsid w:val="00C127B8"/>
    <w:rsid w:val="00C138FE"/>
    <w:rsid w:val="00C17629"/>
    <w:rsid w:val="00C5038C"/>
    <w:rsid w:val="00C56C34"/>
    <w:rsid w:val="00C73053"/>
    <w:rsid w:val="00CB3272"/>
    <w:rsid w:val="00CB5977"/>
    <w:rsid w:val="00CB7A3E"/>
    <w:rsid w:val="00CC43CF"/>
    <w:rsid w:val="00CD7567"/>
    <w:rsid w:val="00CE3698"/>
    <w:rsid w:val="00D01F20"/>
    <w:rsid w:val="00D127D4"/>
    <w:rsid w:val="00D265EC"/>
    <w:rsid w:val="00D31AAB"/>
    <w:rsid w:val="00D3721B"/>
    <w:rsid w:val="00D6355A"/>
    <w:rsid w:val="00D914F9"/>
    <w:rsid w:val="00D930AF"/>
    <w:rsid w:val="00D9542E"/>
    <w:rsid w:val="00DA6BBE"/>
    <w:rsid w:val="00DD41B7"/>
    <w:rsid w:val="00DE166B"/>
    <w:rsid w:val="00DE403F"/>
    <w:rsid w:val="00DF1214"/>
    <w:rsid w:val="00DF776B"/>
    <w:rsid w:val="00E14A35"/>
    <w:rsid w:val="00E26EA4"/>
    <w:rsid w:val="00E30D3A"/>
    <w:rsid w:val="00E45E30"/>
    <w:rsid w:val="00E676E6"/>
    <w:rsid w:val="00E702BE"/>
    <w:rsid w:val="00E70C19"/>
    <w:rsid w:val="00E80745"/>
    <w:rsid w:val="00E97655"/>
    <w:rsid w:val="00EA25B0"/>
    <w:rsid w:val="00EC16D9"/>
    <w:rsid w:val="00ED11CA"/>
    <w:rsid w:val="00EF13BB"/>
    <w:rsid w:val="00EF142A"/>
    <w:rsid w:val="00EF3A72"/>
    <w:rsid w:val="00F11C29"/>
    <w:rsid w:val="00F31359"/>
    <w:rsid w:val="00F37C03"/>
    <w:rsid w:val="00F43169"/>
    <w:rsid w:val="00F5586C"/>
    <w:rsid w:val="00F64965"/>
    <w:rsid w:val="00F67DA2"/>
    <w:rsid w:val="00F752BC"/>
    <w:rsid w:val="00FA2120"/>
    <w:rsid w:val="00FB0FDC"/>
    <w:rsid w:val="00FB152D"/>
    <w:rsid w:val="00FB3B93"/>
    <w:rsid w:val="00FC3031"/>
    <w:rsid w:val="00FD205E"/>
    <w:rsid w:val="00F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91B"/>
    <w:pPr>
      <w:jc w:val="both"/>
    </w:pPr>
    <w:rPr>
      <w:rFonts w:ascii="Calibri" w:eastAsia="Calibri" w:hAnsi="Calibri" w:cs="Arial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591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591B"/>
    <w:rPr>
      <w:rFonts w:ascii="Calibri Light" w:eastAsia="Times New Roman" w:hAnsi="Calibri Light" w:cs="Times New Roman"/>
      <w:b/>
      <w:bCs/>
      <w:sz w:val="26"/>
      <w:szCs w:val="26"/>
      <w:lang w:bidi="ar-SA"/>
    </w:rPr>
  </w:style>
  <w:style w:type="paragraph" w:customStyle="1" w:styleId="Default">
    <w:name w:val="Default"/>
    <w:rsid w:val="0014591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A5">
    <w:name w:val="A5"/>
    <w:uiPriority w:val="99"/>
    <w:rsid w:val="0014591B"/>
    <w:rPr>
      <w:rFonts w:cs="AGaramond"/>
      <w:color w:val="000000"/>
      <w:sz w:val="11"/>
      <w:szCs w:val="11"/>
    </w:rPr>
  </w:style>
  <w:style w:type="table" w:styleId="Grigliatabella">
    <w:name w:val="Table Grid"/>
    <w:basedOn w:val="Tabellanormale"/>
    <w:uiPriority w:val="59"/>
    <w:rsid w:val="0014591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14591B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4591B"/>
    <w:rPr>
      <w:sz w:val="20"/>
      <w:szCs w:val="20"/>
      <w:lang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4591B"/>
    <w:rPr>
      <w:rFonts w:ascii="Calibri" w:eastAsia="Calibri" w:hAnsi="Calibri" w:cs="Arial"/>
      <w:sz w:val="20"/>
      <w:szCs w:val="20"/>
      <w:lang w:bidi="ar-SA"/>
    </w:rPr>
  </w:style>
  <w:style w:type="character" w:styleId="Rimandonotadichiusura">
    <w:name w:val="endnote reference"/>
    <w:uiPriority w:val="99"/>
    <w:semiHidden/>
    <w:unhideWhenUsed/>
    <w:rsid w:val="0014591B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591B"/>
    <w:rPr>
      <w:sz w:val="20"/>
      <w:szCs w:val="20"/>
      <w:lang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591B"/>
    <w:rPr>
      <w:rFonts w:ascii="Calibri" w:eastAsia="Calibri" w:hAnsi="Calibri" w:cs="Arial"/>
      <w:sz w:val="20"/>
      <w:szCs w:val="20"/>
      <w:lang w:bidi="ar-SA"/>
    </w:rPr>
  </w:style>
  <w:style w:type="character" w:styleId="Rimandonotaapidipagina">
    <w:name w:val="footnote reference"/>
    <w:uiPriority w:val="99"/>
    <w:semiHidden/>
    <w:unhideWhenUsed/>
    <w:rsid w:val="0014591B"/>
    <w:rPr>
      <w:vertAlign w:val="superscript"/>
    </w:rPr>
  </w:style>
  <w:style w:type="character" w:customStyle="1" w:styleId="A1">
    <w:name w:val="A1"/>
    <w:uiPriority w:val="99"/>
    <w:rsid w:val="0014591B"/>
    <w:rPr>
      <w:rFonts w:cs="CPTXUZ+Times-Roman"/>
      <w:color w:val="000000"/>
    </w:rPr>
  </w:style>
  <w:style w:type="paragraph" w:customStyle="1" w:styleId="Pa3">
    <w:name w:val="Pa3"/>
    <w:basedOn w:val="Default"/>
    <w:next w:val="Default"/>
    <w:uiPriority w:val="99"/>
    <w:rsid w:val="0014591B"/>
    <w:pPr>
      <w:spacing w:line="200" w:lineRule="atLeast"/>
    </w:pPr>
    <w:rPr>
      <w:rFonts w:ascii="CPTXUZ+Times-Roman" w:hAnsi="CPTXUZ+Times-Roman"/>
      <w:color w:val="auto"/>
      <w:lang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14591B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91B"/>
    <w:rPr>
      <w:rFonts w:ascii="Calibri" w:eastAsia="Calibri" w:hAnsi="Calibri" w:cs="Times New Roman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14591B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91B"/>
    <w:rPr>
      <w:rFonts w:ascii="Calibri" w:eastAsia="Calibri" w:hAnsi="Calibri" w:cs="Times New Roman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91B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91B"/>
    <w:rPr>
      <w:rFonts w:ascii="Tahoma" w:eastAsia="Calibri" w:hAnsi="Tahoma" w:cs="Tahoma"/>
      <w:sz w:val="16"/>
      <w:szCs w:val="16"/>
      <w:lang w:bidi="ar-SA"/>
    </w:rPr>
  </w:style>
  <w:style w:type="character" w:styleId="Rimandocommento">
    <w:name w:val="annotation reference"/>
    <w:uiPriority w:val="99"/>
    <w:semiHidden/>
    <w:unhideWhenUsed/>
    <w:rsid w:val="001459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591B"/>
    <w:rPr>
      <w:sz w:val="20"/>
      <w:szCs w:val="20"/>
      <w:lang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91B"/>
    <w:rPr>
      <w:rFonts w:ascii="Calibri" w:eastAsia="Calibri" w:hAnsi="Calibri" w:cs="Arial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59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591B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1E39F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E25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1B"/>
    <w:pPr>
      <w:jc w:val="both"/>
    </w:pPr>
    <w:rPr>
      <w:rFonts w:ascii="Calibri" w:eastAsia="Calibri" w:hAnsi="Calibri" w:cs="Arial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91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4591B"/>
    <w:rPr>
      <w:rFonts w:ascii="Calibri Light" w:eastAsia="Times New Roman" w:hAnsi="Calibri Light" w:cs="Times New Roman"/>
      <w:b/>
      <w:bCs/>
      <w:sz w:val="26"/>
      <w:szCs w:val="26"/>
      <w:lang w:val="x-none" w:eastAsia="x-none" w:bidi="ar-SA"/>
    </w:rPr>
  </w:style>
  <w:style w:type="paragraph" w:customStyle="1" w:styleId="Default">
    <w:name w:val="Default"/>
    <w:rsid w:val="0014591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A5">
    <w:name w:val="A5"/>
    <w:uiPriority w:val="99"/>
    <w:rsid w:val="0014591B"/>
    <w:rPr>
      <w:rFonts w:cs="AGaramond"/>
      <w:color w:val="000000"/>
      <w:sz w:val="11"/>
      <w:szCs w:val="11"/>
    </w:rPr>
  </w:style>
  <w:style w:type="table" w:styleId="TableGrid">
    <w:name w:val="Table Grid"/>
    <w:basedOn w:val="TableNormal"/>
    <w:uiPriority w:val="59"/>
    <w:rsid w:val="0014591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4591B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591B"/>
    <w:rPr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591B"/>
    <w:rPr>
      <w:rFonts w:ascii="Calibri" w:eastAsia="Calibri" w:hAnsi="Calibri" w:cs="Arial"/>
      <w:sz w:val="20"/>
      <w:szCs w:val="20"/>
      <w:lang w:val="x-none" w:eastAsia="x-none" w:bidi="ar-SA"/>
    </w:rPr>
  </w:style>
  <w:style w:type="character" w:styleId="EndnoteReference">
    <w:name w:val="endnote reference"/>
    <w:uiPriority w:val="99"/>
    <w:semiHidden/>
    <w:unhideWhenUsed/>
    <w:rsid w:val="0014591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91B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91B"/>
    <w:rPr>
      <w:rFonts w:ascii="Calibri" w:eastAsia="Calibri" w:hAnsi="Calibri" w:cs="Arial"/>
      <w:sz w:val="20"/>
      <w:szCs w:val="20"/>
      <w:lang w:val="x-none" w:eastAsia="x-none" w:bidi="ar-SA"/>
    </w:rPr>
  </w:style>
  <w:style w:type="character" w:styleId="FootnoteReference">
    <w:name w:val="footnote reference"/>
    <w:uiPriority w:val="99"/>
    <w:semiHidden/>
    <w:unhideWhenUsed/>
    <w:rsid w:val="0014591B"/>
    <w:rPr>
      <w:vertAlign w:val="superscript"/>
    </w:rPr>
  </w:style>
  <w:style w:type="character" w:customStyle="1" w:styleId="A1">
    <w:name w:val="A1"/>
    <w:uiPriority w:val="99"/>
    <w:rsid w:val="0014591B"/>
    <w:rPr>
      <w:rFonts w:cs="CPTXUZ+Times-Roman"/>
      <w:color w:val="000000"/>
    </w:rPr>
  </w:style>
  <w:style w:type="paragraph" w:customStyle="1" w:styleId="Pa3">
    <w:name w:val="Pa3"/>
    <w:basedOn w:val="Default"/>
    <w:next w:val="Default"/>
    <w:uiPriority w:val="99"/>
    <w:rsid w:val="0014591B"/>
    <w:pPr>
      <w:spacing w:line="200" w:lineRule="atLeast"/>
    </w:pPr>
    <w:rPr>
      <w:rFonts w:ascii="CPTXUZ+Times-Roman" w:hAnsi="CPTXUZ+Times-Roman"/>
      <w:color w:val="auto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4591B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4591B"/>
    <w:rPr>
      <w:rFonts w:ascii="Calibri" w:eastAsia="Calibri" w:hAnsi="Calibri" w:cs="Times New Roman"/>
      <w:lang w:val="x-none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4591B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4591B"/>
    <w:rPr>
      <w:rFonts w:ascii="Calibri" w:eastAsia="Calibri" w:hAnsi="Calibri" w:cs="Times New Roman"/>
      <w:lang w:val="x-none"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91B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91B"/>
    <w:rPr>
      <w:rFonts w:ascii="Tahoma" w:eastAsia="Calibri" w:hAnsi="Tahoma" w:cs="Tahoma"/>
      <w:sz w:val="16"/>
      <w:szCs w:val="16"/>
      <w:lang w:val="x-none" w:eastAsia="x-none" w:bidi="ar-SA"/>
    </w:rPr>
  </w:style>
  <w:style w:type="character" w:styleId="CommentReference">
    <w:name w:val="annotation reference"/>
    <w:uiPriority w:val="99"/>
    <w:semiHidden/>
    <w:unhideWhenUsed/>
    <w:rsid w:val="00145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91B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91B"/>
    <w:rPr>
      <w:rFonts w:ascii="Calibri" w:eastAsia="Calibri" w:hAnsi="Calibri" w:cs="Arial"/>
      <w:sz w:val="20"/>
      <w:szCs w:val="20"/>
      <w:lang w:val="x-none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91B"/>
    <w:rPr>
      <w:rFonts w:ascii="Calibri" w:eastAsia="Calibri" w:hAnsi="Calibri" w:cs="Arial"/>
      <w:b/>
      <w:bCs/>
      <w:sz w:val="20"/>
      <w:szCs w:val="20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E39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25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abouzar-pc</dc:creator>
  <cp:lastModifiedBy>Attila</cp:lastModifiedBy>
  <cp:revision>179</cp:revision>
  <dcterms:created xsi:type="dcterms:W3CDTF">2019-01-26T16:27:00Z</dcterms:created>
  <dcterms:modified xsi:type="dcterms:W3CDTF">2019-03-25T11:30:00Z</dcterms:modified>
</cp:coreProperties>
</file>