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7925" w14:textId="77777777" w:rsidR="00262EE7" w:rsidRDefault="00262EE7" w:rsidP="00262EE7">
      <w:pPr>
        <w:pageBreakBefore/>
        <w:tabs>
          <w:tab w:val="left" w:pos="709"/>
        </w:tabs>
        <w:spacing w:line="360" w:lineRule="auto"/>
        <w:jc w:val="center"/>
        <w:rPr>
          <w:rFonts w:ascii="Times New Roman" w:eastAsia="font385" w:hAnsi="Times New Roman" w:cs="Times New Roman"/>
          <w:b/>
          <w:bCs/>
          <w:color w:val="000000"/>
          <w:lang w:val="en-GB"/>
        </w:rPr>
      </w:pPr>
      <w:bookmarkStart w:id="0" w:name="_GoBack"/>
      <w:bookmarkEnd w:id="0"/>
      <w:r>
        <w:rPr>
          <w:rFonts w:ascii="Times New Roman" w:eastAsia="font385" w:hAnsi="Times New Roman" w:cs="Times New Roman"/>
          <w:b/>
          <w:bCs/>
          <w:color w:val="000000"/>
          <w:lang w:val="en-GB"/>
        </w:rPr>
        <w:t>Figure captions</w:t>
      </w:r>
    </w:p>
    <w:p w14:paraId="2F8B7050" w14:textId="77777777" w:rsidR="00262EE7" w:rsidRDefault="00262EE7" w:rsidP="00262EE7">
      <w:pPr>
        <w:tabs>
          <w:tab w:val="left" w:pos="709"/>
        </w:tabs>
        <w:spacing w:line="360" w:lineRule="auto"/>
        <w:jc w:val="both"/>
        <w:rPr>
          <w:rFonts w:ascii="Times New Roman" w:eastAsia="font385" w:hAnsi="Times New Roman" w:cs="Times New Roman"/>
          <w:bCs/>
          <w:color w:val="000000"/>
          <w:lang w:val="en-GB"/>
        </w:rPr>
      </w:pPr>
      <w:r>
        <w:rPr>
          <w:rFonts w:ascii="Times New Roman" w:eastAsia="font385" w:hAnsi="Times New Roman" w:cs="Times New Roman"/>
          <w:b/>
          <w:bCs/>
          <w:color w:val="000000"/>
          <w:lang w:val="en-GB"/>
        </w:rPr>
        <w:t xml:space="preserve">Figure 1. 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>Correlation coefficients between standardized chronologies and the main climatic drivers. Letters indicate various integration periods of precipitation accumulated over 3 years. Only significant coefficients are shown</w:t>
      </w:r>
      <w:r w:rsidR="00046394">
        <w:rPr>
          <w:rFonts w:ascii="Times New Roman" w:eastAsia="font385" w:hAnsi="Times New Roman" w:cs="Times New Roman"/>
          <w:bCs/>
          <w:color w:val="000000"/>
          <w:lang w:val="en-GB"/>
        </w:rPr>
        <w:t>.</w:t>
      </w:r>
    </w:p>
    <w:p w14:paraId="136067CF" w14:textId="77777777" w:rsidR="00262EE7" w:rsidRDefault="00262EE7" w:rsidP="00262EE7">
      <w:pPr>
        <w:tabs>
          <w:tab w:val="left" w:pos="709"/>
        </w:tabs>
        <w:spacing w:line="360" w:lineRule="auto"/>
        <w:jc w:val="both"/>
        <w:rPr>
          <w:rFonts w:ascii="Times New Roman" w:eastAsia="font385" w:hAnsi="Times New Roman" w:cs="Times New Roman"/>
          <w:bCs/>
          <w:color w:val="000000"/>
          <w:lang w:val="en-GB"/>
        </w:rPr>
      </w:pPr>
      <w:r>
        <w:rPr>
          <w:rFonts w:ascii="Times New Roman" w:eastAsia="font385" w:hAnsi="Times New Roman" w:cs="Times New Roman"/>
          <w:b/>
          <w:bCs/>
          <w:color w:val="000000"/>
          <w:lang w:val="en-GB"/>
        </w:rPr>
        <w:t xml:space="preserve">Figure 2. 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>Linear model between the best precipitation predictors and standard chronologies (ABD and STD) and measured versus reconstructed time series according to the best predictors for calibration and verification periods (</w:t>
      </w:r>
      <w:r>
        <w:rPr>
          <w:rFonts w:ascii="Times New Roman" w:eastAsia="font385" w:hAnsi="Times New Roman" w:cs="Times New Roman"/>
          <w:lang w:val="en-GB"/>
        </w:rPr>
        <w:t xml:space="preserve">long time-scale signal based on 3-year precipitation </w:t>
      </w:r>
      <w:r>
        <w:rPr>
          <w:rFonts w:ascii="Times New Roman" w:eastAsia="font385" w:hAnsi="Times New Roman" w:cs="Times New Roman"/>
          <w:color w:val="000000"/>
          <w:lang w:val="en-GB"/>
        </w:rPr>
        <w:t>sums</w:t>
      </w:r>
      <w:r>
        <w:rPr>
          <w:rFonts w:ascii="Times New Roman" w:eastAsia="font385" w:hAnsi="Times New Roman" w:cs="Times New Roman"/>
          <w:lang w:val="en-GB"/>
        </w:rPr>
        <w:t xml:space="preserve"> and short time-scale signal based on OND precipitation, respectively)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>. The main reconstruction statistics are reported in Table 2.</w:t>
      </w:r>
    </w:p>
    <w:p w14:paraId="747B3342" w14:textId="77777777" w:rsidR="00262EE7" w:rsidRDefault="00262EE7" w:rsidP="00262EE7">
      <w:pPr>
        <w:tabs>
          <w:tab w:val="left" w:pos="709"/>
        </w:tabs>
        <w:spacing w:line="360" w:lineRule="auto"/>
        <w:jc w:val="both"/>
        <w:rPr>
          <w:rFonts w:ascii="Times New Roman" w:eastAsia="font385" w:hAnsi="Times New Roman" w:cs="Times New Roman"/>
          <w:bCs/>
          <w:color w:val="000000"/>
          <w:lang w:val="en-GB"/>
        </w:rPr>
      </w:pPr>
      <w:r>
        <w:rPr>
          <w:rFonts w:ascii="Times New Roman" w:eastAsia="font385" w:hAnsi="Times New Roman" w:cs="Times New Roman"/>
          <w:b/>
          <w:bCs/>
          <w:color w:val="000000"/>
          <w:lang w:val="en-GB"/>
        </w:rPr>
        <w:t xml:space="preserve">Figure 3. 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>Precipitation reconstruction according to the best predictors for both ABD and STD chronologies and CRU long dataset in mm (a) and z-scores produced with the scaling approach (b). Climatic predictors as in Fig. 2.</w:t>
      </w:r>
    </w:p>
    <w:p w14:paraId="356A5A9F" w14:textId="77777777" w:rsidR="00262EE7" w:rsidRDefault="00262EE7" w:rsidP="00262EE7">
      <w:pPr>
        <w:tabs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lang w:val="en-GB" w:eastAsia="ar-SA" w:bidi="ar-SA"/>
        </w:rPr>
      </w:pPr>
      <w:r>
        <w:rPr>
          <w:rFonts w:ascii="Times New Roman" w:eastAsia="font385" w:hAnsi="Times New Roman" w:cs="Times New Roman"/>
          <w:b/>
          <w:bCs/>
          <w:color w:val="000000"/>
          <w:lang w:val="en-GB"/>
        </w:rPr>
        <w:t xml:space="preserve">Figure 4. </w:t>
      </w:r>
      <w:r>
        <w:rPr>
          <w:rFonts w:ascii="Times New Roman" w:eastAsia="font385" w:hAnsi="Times New Roman" w:cs="Times New Roman"/>
          <w:color w:val="000000"/>
          <w:lang w:val="en-GB"/>
        </w:rPr>
        <w:t>Total annual precipitation reconstruction using ABD method obtained b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y setting the best multiple year precipitation drivers at</w:t>
      </w:r>
      <w:r>
        <w:rPr>
          <w:rFonts w:ascii="Times New Roman" w:eastAsia="Times New Roman" w:hAnsi="Times New Roman" w:cs="Times New Roman"/>
          <w:color w:val="000000"/>
          <w:lang w:val="en-US" w:eastAsia="ar-SA" w:bidi="ar-SA"/>
        </w:rPr>
        <w:t xml:space="preserve"> annual 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scale</w:t>
      </w:r>
      <w:r>
        <w:rPr>
          <w:rFonts w:ascii="Times New Roman" w:eastAsia="font385" w:hAnsi="Times New Roman" w:cs="Times New Roman"/>
          <w:color w:val="000000"/>
          <w:lang w:val="en-GB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95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en-GB" w:eastAsia="ar-SA" w:bidi="ar-SA"/>
        </w:rPr>
        <w:t>th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 xml:space="preserve"> and 5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en-GB" w:eastAsia="ar-SA" w:bidi="ar-SA"/>
        </w:rPr>
        <w:t xml:space="preserve">th 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percentile-based thresholds for the extremely wet and dry years (</w:t>
      </w:r>
      <w:r>
        <w:rPr>
          <w:rFonts w:ascii="Times New Roman" w:eastAsia="Times New Roman" w:hAnsi="Times New Roman" w:cs="Times New Roman"/>
          <w:i/>
          <w:iCs/>
          <w:color w:val="000000"/>
          <w:lang w:val="en-GB" w:eastAsia="ar-SA" w:bidi="ar-SA"/>
        </w:rPr>
        <w:t>left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). Percentage differences for wet and dry thresholds between reconstructed and CRU series (</w:t>
      </w:r>
      <w:r>
        <w:rPr>
          <w:rFonts w:ascii="Times New Roman" w:eastAsia="Times New Roman" w:hAnsi="Times New Roman" w:cs="Times New Roman"/>
          <w:i/>
          <w:iCs/>
          <w:color w:val="000000"/>
          <w:lang w:val="en-GB" w:eastAsia="ar-SA" w:bidi="ar-SA"/>
        </w:rPr>
        <w:t>right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).</w:t>
      </w:r>
    </w:p>
    <w:p w14:paraId="4C23521D" w14:textId="77777777" w:rsidR="00262EE7" w:rsidRDefault="00262EE7" w:rsidP="00262EE7">
      <w:pPr>
        <w:tabs>
          <w:tab w:val="left" w:pos="709"/>
        </w:tabs>
        <w:spacing w:line="360" w:lineRule="auto"/>
        <w:jc w:val="both"/>
        <w:rPr>
          <w:rFonts w:ascii="Times New Roman" w:eastAsia="Gulliver RM" w:hAnsi="Times New Roman" w:cs="Times New Roman"/>
          <w:color w:val="000000"/>
          <w:lang w:val="en-GB"/>
        </w:rPr>
      </w:pPr>
      <w:r>
        <w:rPr>
          <w:rFonts w:ascii="Times New Roman" w:eastAsia="font385" w:hAnsi="Times New Roman" w:cs="Times New Roman"/>
          <w:b/>
          <w:bCs/>
          <w:color w:val="000000"/>
          <w:lang w:val="en-GB"/>
        </w:rPr>
        <w:t xml:space="preserve">Figure 5. </w:t>
      </w:r>
      <w:r>
        <w:rPr>
          <w:rFonts w:ascii="Times New Roman" w:eastAsia="font385" w:hAnsi="Times New Roman" w:cs="Times New Roman"/>
          <w:color w:val="000000"/>
          <w:lang w:val="en-GB"/>
        </w:rPr>
        <w:t xml:space="preserve">Correlation coefficients between CRU and reconstructed time series of precipitation </w:t>
      </w:r>
      <w:r>
        <w:rPr>
          <w:rFonts w:ascii="Times New Roman" w:eastAsia="Gulliver RM" w:hAnsi="Times New Roman" w:cs="Times New Roman"/>
          <w:color w:val="000000"/>
          <w:lang w:val="en-GB"/>
        </w:rPr>
        <w:t>decomposed</w:t>
      </w:r>
      <w:r>
        <w:rPr>
          <w:rFonts w:ascii="Times New Roman" w:eastAsia="Helvetica" w:hAnsi="Times New Roman" w:cs="Times New Roman"/>
          <w:color w:val="000000"/>
          <w:lang w:val="en-GB"/>
        </w:rPr>
        <w:t xml:space="preserve"> </w:t>
      </w:r>
      <w:r>
        <w:rPr>
          <w:rFonts w:ascii="Times New Roman" w:eastAsia="Gulliver RM" w:hAnsi="Times New Roman" w:cs="Times New Roman"/>
          <w:color w:val="000000"/>
          <w:lang w:val="en-GB"/>
        </w:rPr>
        <w:t>from 2 to 2</w:t>
      </w:r>
      <w:r>
        <w:rPr>
          <w:rFonts w:ascii="Times New Roman" w:eastAsia="Gulliver RM" w:hAnsi="Times New Roman" w:cs="Times New Roman"/>
          <w:color w:val="000000"/>
          <w:vertAlign w:val="superscript"/>
          <w:lang w:val="en-GB"/>
        </w:rPr>
        <w:t>5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 years via</w:t>
      </w:r>
      <w:r>
        <w:rPr>
          <w:rFonts w:ascii="Times New Roman" w:eastAsia="Helvetica" w:hAnsi="Times New Roman" w:cs="Times New Roman"/>
          <w:color w:val="000000"/>
          <w:lang w:val="en-GB"/>
        </w:rPr>
        <w:t xml:space="preserve"> multi-resolution analysis 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(wavelet detail </w:t>
      </w:r>
      <w:r>
        <w:rPr>
          <w:rFonts w:ascii="Times New Roman" w:eastAsia="Gulliver IT" w:hAnsi="Times New Roman" w:cs="Times New Roman"/>
          <w:color w:val="000000"/>
          <w:lang w:val="en-GB"/>
        </w:rPr>
        <w:t>D</w:t>
      </w:r>
      <w:r>
        <w:rPr>
          <w:rFonts w:ascii="Times New Roman" w:eastAsia="Gulliver IT" w:hAnsi="Times New Roman" w:cs="Times New Roman"/>
          <w:color w:val="000000"/>
          <w:vertAlign w:val="subscript"/>
          <w:lang w:val="en-GB"/>
        </w:rPr>
        <w:t>1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, </w:t>
      </w:r>
      <w:r>
        <w:rPr>
          <w:rFonts w:ascii="Times New Roman" w:eastAsia="Gulliver IT" w:hAnsi="Times New Roman" w:cs="Times New Roman"/>
          <w:color w:val="000000"/>
          <w:lang w:val="en-GB"/>
        </w:rPr>
        <w:t>D</w:t>
      </w:r>
      <w:r>
        <w:rPr>
          <w:rFonts w:ascii="Times New Roman" w:eastAsia="Gulliver IT" w:hAnsi="Times New Roman" w:cs="Times New Roman"/>
          <w:color w:val="000000"/>
          <w:vertAlign w:val="subscript"/>
          <w:lang w:val="en-GB"/>
        </w:rPr>
        <w:t>2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, </w:t>
      </w:r>
      <w:r>
        <w:rPr>
          <w:rFonts w:ascii="Times New Roman" w:eastAsia="Gulliver IT" w:hAnsi="Times New Roman" w:cs="Times New Roman"/>
          <w:color w:val="000000"/>
          <w:lang w:val="en-GB"/>
        </w:rPr>
        <w:t>D</w:t>
      </w:r>
      <w:r>
        <w:rPr>
          <w:rFonts w:ascii="Times New Roman" w:eastAsia="Gulliver IT" w:hAnsi="Times New Roman" w:cs="Times New Roman"/>
          <w:color w:val="000000"/>
          <w:vertAlign w:val="subscript"/>
          <w:lang w:val="en-GB"/>
        </w:rPr>
        <w:t>3</w:t>
      </w:r>
      <w:r>
        <w:rPr>
          <w:rFonts w:ascii="Times New Roman" w:eastAsia="Gulliver RM" w:hAnsi="Times New Roman" w:cs="Times New Roman"/>
          <w:color w:val="000000"/>
          <w:vertAlign w:val="subscript"/>
          <w:lang w:val="en-GB"/>
        </w:rPr>
        <w:t xml:space="preserve">, </w:t>
      </w:r>
      <w:r>
        <w:rPr>
          <w:rFonts w:ascii="Times New Roman" w:eastAsia="Gulliver IT" w:hAnsi="Times New Roman" w:cs="Times New Roman"/>
          <w:color w:val="000000"/>
          <w:lang w:val="en-GB"/>
        </w:rPr>
        <w:t>D</w:t>
      </w:r>
      <w:r>
        <w:rPr>
          <w:rFonts w:ascii="Times New Roman" w:eastAsia="Gulliver IT" w:hAnsi="Times New Roman" w:cs="Times New Roman"/>
          <w:color w:val="000000"/>
          <w:vertAlign w:val="subscript"/>
          <w:lang w:val="en-GB"/>
        </w:rPr>
        <w:t>4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 and D</w:t>
      </w:r>
      <w:r>
        <w:rPr>
          <w:rFonts w:ascii="Times New Roman" w:eastAsia="Gulliver RM" w:hAnsi="Times New Roman" w:cs="Times New Roman"/>
          <w:color w:val="000000"/>
          <w:vertAlign w:val="subscript"/>
          <w:lang w:val="en-GB"/>
        </w:rPr>
        <w:t>5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). 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>Only significant coefficients between ABD-RCS and long time-scale signal based on 3-year precipitation sums and STD and short time-scale signal based on OND precipitation are shown (</w:t>
      </w:r>
      <w:r>
        <w:rPr>
          <w:rFonts w:ascii="Times New Roman" w:eastAsia="font385" w:hAnsi="Times New Roman" w:cs="Times New Roman"/>
          <w:bCs/>
          <w:i/>
          <w:iCs/>
          <w:color w:val="000000"/>
          <w:lang w:val="en-GB"/>
        </w:rPr>
        <w:t>top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 xml:space="preserve">). Graphical matching between reconstructed (ABD) and CRU series at each </w:t>
      </w:r>
      <w:r>
        <w:rPr>
          <w:rFonts w:ascii="Times New Roman" w:eastAsia="Gulliver RM" w:hAnsi="Times New Roman" w:cs="Times New Roman"/>
          <w:color w:val="000000"/>
          <w:lang w:val="en-GB"/>
        </w:rPr>
        <w:t>wavelet detail (</w:t>
      </w:r>
      <w:r>
        <w:rPr>
          <w:rFonts w:ascii="Times New Roman" w:eastAsia="Gulliver RM" w:hAnsi="Times New Roman" w:cs="Times New Roman"/>
          <w:i/>
          <w:iCs/>
          <w:color w:val="000000"/>
          <w:lang w:val="en-GB"/>
        </w:rPr>
        <w:t>bottom</w:t>
      </w:r>
      <w:r>
        <w:rPr>
          <w:rFonts w:ascii="Times New Roman" w:eastAsia="Gulliver RM" w:hAnsi="Times New Roman" w:cs="Times New Roman"/>
          <w:color w:val="000000"/>
          <w:lang w:val="en-GB"/>
        </w:rPr>
        <w:t>).</w:t>
      </w:r>
    </w:p>
    <w:p w14:paraId="0211FFE6" w14:textId="77777777" w:rsidR="00010C4E" w:rsidRPr="00262EE7" w:rsidRDefault="00262EE7" w:rsidP="00262EE7">
      <w:pPr>
        <w:tabs>
          <w:tab w:val="left" w:pos="709"/>
        </w:tabs>
        <w:spacing w:line="360" w:lineRule="auto"/>
        <w:jc w:val="both"/>
        <w:rPr>
          <w:rFonts w:ascii="Times New Roman" w:eastAsia="Gulliver RM" w:hAnsi="Times New Roman" w:cs="Times New Roman"/>
          <w:color w:val="000000"/>
          <w:lang w:val="en-GB"/>
        </w:rPr>
      </w:pPr>
      <w:r>
        <w:rPr>
          <w:rFonts w:ascii="Times New Roman" w:eastAsia="Gulliver RM" w:hAnsi="Times New Roman" w:cs="Times New Roman"/>
          <w:b/>
          <w:bCs/>
          <w:color w:val="000000"/>
          <w:lang w:val="en-GB"/>
        </w:rPr>
        <w:t>Figure 6.</w:t>
      </w:r>
      <w:r>
        <w:rPr>
          <w:rFonts w:ascii="Times New Roman" w:eastAsia="Gulliver RM" w:hAnsi="Times New Roman" w:cs="Times New Roman"/>
          <w:color w:val="000000"/>
          <w:lang w:val="en-GB"/>
        </w:rPr>
        <w:t xml:space="preserve"> Squared wavelets coherence between </w:t>
      </w:r>
      <w:r>
        <w:rPr>
          <w:rFonts w:ascii="Times New Roman" w:eastAsia="Times New Roman" w:hAnsi="Times New Roman" w:cs="Times New Roman"/>
          <w:color w:val="000000"/>
          <w:lang w:val="en-GB" w:eastAsia="ar-SA" w:bidi="ar-SA"/>
        </w:rPr>
        <w:t>reconstructed (ABD, STD) and CRU series</w:t>
      </w:r>
      <w:r>
        <w:rPr>
          <w:rFonts w:ascii="Times New Roman" w:eastAsia="font385" w:hAnsi="Times New Roman" w:cs="Times New Roman"/>
          <w:color w:val="000000"/>
          <w:lang w:val="en-GB" w:eastAsia="ar-SA" w:bidi="ar-SA"/>
        </w:rPr>
        <w:t xml:space="preserve">. </w:t>
      </w:r>
      <w:r>
        <w:rPr>
          <w:rFonts w:ascii="Times New Roman" w:eastAsia="Times-Roman" w:hAnsi="Times New Roman" w:cs="Times New Roman"/>
          <w:color w:val="000000"/>
          <w:lang w:val="en-GB"/>
        </w:rPr>
        <w:t xml:space="preserve">Black lines show contours of areas 5 % significance level against red noise. The hatched line designates the cone of influence (COI); in areas outside of the COI, edge effects might distort the results and should not be interpreted. Arrows pointing to the right (left) show phase (anti-phase) behaviour between the </w:t>
      </w:r>
      <w:proofErr w:type="gramStart"/>
      <w:r>
        <w:rPr>
          <w:rFonts w:ascii="Times New Roman" w:eastAsia="Times-Roman" w:hAnsi="Times New Roman" w:cs="Times New Roman"/>
          <w:color w:val="000000"/>
          <w:lang w:val="en-GB"/>
        </w:rPr>
        <w:t>two time</w:t>
      </w:r>
      <w:proofErr w:type="gramEnd"/>
      <w:r>
        <w:rPr>
          <w:rFonts w:ascii="Times New Roman" w:eastAsia="Times-Roman" w:hAnsi="Times New Roman" w:cs="Times New Roman"/>
          <w:color w:val="000000"/>
          <w:lang w:val="en-GB"/>
        </w:rPr>
        <w:t xml:space="preserve"> series. </w:t>
      </w:r>
      <w:r>
        <w:rPr>
          <w:rFonts w:ascii="Times New Roman" w:eastAsia="font385" w:hAnsi="Times New Roman" w:cs="Times New Roman"/>
          <w:bCs/>
          <w:color w:val="000000"/>
          <w:lang w:val="en-GB"/>
        </w:rPr>
        <w:t>Climatic predictors as in Fig. 5</w:t>
      </w:r>
    </w:p>
    <w:sectPr w:rsidR="00010C4E" w:rsidRPr="00262EE7" w:rsidSect="00262EE7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85">
    <w:altName w:val="MS PMincho"/>
    <w:charset w:val="80"/>
    <w:family w:val="roman"/>
    <w:pitch w:val="default"/>
  </w:font>
  <w:font w:name="Gulliver RM"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ulliver IT">
    <w:altName w:val="MS PMincho"/>
    <w:charset w:val="80"/>
    <w:family w:val="roman"/>
    <w:pitch w:val="default"/>
  </w:font>
  <w:font w:name="Times-Roman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E7"/>
    <w:rsid w:val="00010C4E"/>
    <w:rsid w:val="00046394"/>
    <w:rsid w:val="00262EE7"/>
    <w:rsid w:val="00B109F9"/>
    <w:rsid w:val="00D9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051D"/>
  <w15:docId w15:val="{FAAF3E96-8EE0-422B-B61A-8C76A85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2EE7"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val="it-IT"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Manuela Plutino</cp:lastModifiedBy>
  <cp:revision>2</cp:revision>
  <dcterms:created xsi:type="dcterms:W3CDTF">2018-11-28T08:50:00Z</dcterms:created>
  <dcterms:modified xsi:type="dcterms:W3CDTF">2018-11-28T08:50:00Z</dcterms:modified>
</cp:coreProperties>
</file>