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8D3" w:rsidRPr="004160C6" w:rsidRDefault="000038D3" w:rsidP="000038D3">
      <w:pPr>
        <w:spacing w:after="0" w:line="480" w:lineRule="auto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  <w:r w:rsidRPr="004160C6">
        <w:rPr>
          <w:rFonts w:ascii="Times New Roman" w:hAnsi="Times New Roman" w:cs="Times New Roman"/>
          <w:b/>
          <w:lang w:val="en-US"/>
        </w:rPr>
        <w:t xml:space="preserve">List of Figures </w:t>
      </w:r>
      <w:r w:rsidR="004E0400">
        <w:rPr>
          <w:rFonts w:ascii="Times New Roman" w:hAnsi="Times New Roman" w:cs="Times New Roman"/>
          <w:b/>
          <w:lang w:val="en-US"/>
        </w:rPr>
        <w:t>and Tables</w:t>
      </w:r>
    </w:p>
    <w:p w:rsidR="000038D3" w:rsidRPr="004E0400" w:rsidRDefault="000038D3" w:rsidP="004E040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E0400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4E040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E0400">
        <w:rPr>
          <w:rFonts w:ascii="Times New Roman" w:hAnsi="Times New Roman" w:cs="Times New Roman"/>
          <w:sz w:val="24"/>
          <w:szCs w:val="24"/>
          <w:lang w:val="en-US"/>
        </w:rPr>
        <w:t xml:space="preserve"> 1: Study area. The position of the three municipalities within the state of Tocantins and the border of the </w:t>
      </w:r>
      <w:proofErr w:type="spellStart"/>
      <w:r w:rsidRPr="004E0400">
        <w:rPr>
          <w:rFonts w:ascii="Times New Roman" w:hAnsi="Times New Roman" w:cs="Times New Roman"/>
          <w:sz w:val="24"/>
          <w:szCs w:val="24"/>
          <w:lang w:val="en-US"/>
        </w:rPr>
        <w:t>Bananal</w:t>
      </w:r>
      <w:proofErr w:type="spellEnd"/>
      <w:r w:rsidRPr="004E0400">
        <w:rPr>
          <w:rFonts w:ascii="Times New Roman" w:hAnsi="Times New Roman" w:cs="Times New Roman"/>
          <w:sz w:val="24"/>
          <w:szCs w:val="24"/>
          <w:lang w:val="en-US"/>
        </w:rPr>
        <w:t xml:space="preserve"> Island indigenous area on the left. The total area is 27,412 km</w:t>
      </w:r>
      <w:r w:rsidRPr="004E040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4E0400">
        <w:rPr>
          <w:rFonts w:ascii="Times New Roman" w:hAnsi="Times New Roman" w:cs="Times New Roman"/>
          <w:sz w:val="24"/>
          <w:szCs w:val="24"/>
          <w:lang w:val="en-US"/>
        </w:rPr>
        <w:t>, (3,424 km</w:t>
      </w:r>
      <w:r w:rsidRPr="004E040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4E040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4E0400">
        <w:rPr>
          <w:rFonts w:ascii="Times New Roman" w:hAnsi="Times New Roman" w:cs="Times New Roman"/>
          <w:sz w:val="24"/>
          <w:szCs w:val="24"/>
          <w:lang w:val="en-US"/>
        </w:rPr>
        <w:t>Dueré</w:t>
      </w:r>
      <w:proofErr w:type="spellEnd"/>
      <w:r w:rsidRPr="004E0400">
        <w:rPr>
          <w:rFonts w:ascii="Times New Roman" w:hAnsi="Times New Roman" w:cs="Times New Roman"/>
          <w:sz w:val="24"/>
          <w:szCs w:val="24"/>
          <w:lang w:val="en-US"/>
        </w:rPr>
        <w:t>, 13,423 km</w:t>
      </w:r>
      <w:r w:rsidRPr="004E040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4E040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4E0400">
        <w:rPr>
          <w:rFonts w:ascii="Times New Roman" w:hAnsi="Times New Roman" w:cs="Times New Roman"/>
          <w:sz w:val="24"/>
          <w:szCs w:val="24"/>
          <w:lang w:val="en-US"/>
        </w:rPr>
        <w:t>Formoso</w:t>
      </w:r>
      <w:proofErr w:type="spellEnd"/>
      <w:r w:rsidRPr="004E0400">
        <w:rPr>
          <w:rFonts w:ascii="Times New Roman" w:hAnsi="Times New Roman" w:cs="Times New Roman"/>
          <w:sz w:val="24"/>
          <w:szCs w:val="24"/>
          <w:lang w:val="en-US"/>
        </w:rPr>
        <w:t xml:space="preserve"> do Araguaia and 10,564 km</w:t>
      </w:r>
      <w:r w:rsidRPr="004E040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4E040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4E0400">
        <w:rPr>
          <w:rFonts w:ascii="Times New Roman" w:hAnsi="Times New Roman" w:cs="Times New Roman"/>
          <w:sz w:val="24"/>
          <w:szCs w:val="24"/>
          <w:lang w:val="en-US"/>
        </w:rPr>
        <w:t>Lagoa</w:t>
      </w:r>
      <w:proofErr w:type="spellEnd"/>
      <w:r w:rsidRPr="004E0400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4E0400">
        <w:rPr>
          <w:rFonts w:ascii="Times New Roman" w:hAnsi="Times New Roman" w:cs="Times New Roman"/>
          <w:sz w:val="24"/>
          <w:szCs w:val="24"/>
          <w:lang w:val="en-US"/>
        </w:rPr>
        <w:t>Confusão</w:t>
      </w:r>
      <w:proofErr w:type="spellEnd"/>
      <w:r w:rsidRPr="004E0400">
        <w:rPr>
          <w:rFonts w:ascii="Times New Roman" w:hAnsi="Times New Roman" w:cs="Times New Roman"/>
          <w:sz w:val="24"/>
          <w:szCs w:val="24"/>
          <w:lang w:val="en-US"/>
        </w:rPr>
        <w:t xml:space="preserve">), within which forest cover represents the 70% of the total area. The position of Tocantins within Brazil is on the right. </w:t>
      </w:r>
    </w:p>
    <w:p w:rsidR="000038D3" w:rsidRPr="004E0400" w:rsidRDefault="000038D3" w:rsidP="004E040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E0400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4E040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E0400">
        <w:rPr>
          <w:rFonts w:ascii="Times New Roman" w:hAnsi="Times New Roman" w:cs="Times New Roman"/>
          <w:sz w:val="24"/>
          <w:szCs w:val="24"/>
          <w:lang w:val="en-US"/>
        </w:rPr>
        <w:t xml:space="preserve"> 2: Independent t-test. The figure shows the variables that presented statistically significant differences (black square), p-value &lt;0.05. Gender is absent because it did not present any significant differences.</w:t>
      </w:r>
    </w:p>
    <w:p w:rsidR="000038D3" w:rsidRPr="004E0400" w:rsidRDefault="000038D3" w:rsidP="004E040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E0400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4E040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E0400">
        <w:rPr>
          <w:rFonts w:ascii="Times New Roman" w:hAnsi="Times New Roman" w:cs="Times New Roman"/>
          <w:sz w:val="24"/>
          <w:szCs w:val="24"/>
          <w:lang w:val="en-US"/>
        </w:rPr>
        <w:t xml:space="preserve"> 3: PCA score plot. The y-axis represents the PC1 “mitigation behaviors” while the x-axis represents the PC2 “risk perception” among the citizens. The star indicates the municipalities of the </w:t>
      </w:r>
      <w:proofErr w:type="spellStart"/>
      <w:r w:rsidRPr="004E0400">
        <w:rPr>
          <w:rFonts w:ascii="Times New Roman" w:hAnsi="Times New Roman" w:cs="Times New Roman"/>
          <w:sz w:val="24"/>
          <w:szCs w:val="24"/>
          <w:lang w:val="en-US"/>
        </w:rPr>
        <w:t>Lagoa</w:t>
      </w:r>
      <w:proofErr w:type="spellEnd"/>
      <w:r w:rsidRPr="004E0400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4E0400">
        <w:rPr>
          <w:rFonts w:ascii="Times New Roman" w:hAnsi="Times New Roman" w:cs="Times New Roman"/>
          <w:sz w:val="24"/>
          <w:szCs w:val="24"/>
          <w:lang w:val="en-US"/>
        </w:rPr>
        <w:t>Confusão</w:t>
      </w:r>
      <w:proofErr w:type="spellEnd"/>
      <w:r w:rsidRPr="004E0400">
        <w:rPr>
          <w:rFonts w:ascii="Times New Roman" w:hAnsi="Times New Roman" w:cs="Times New Roman"/>
          <w:sz w:val="24"/>
          <w:szCs w:val="24"/>
          <w:lang w:val="en-US"/>
        </w:rPr>
        <w:t xml:space="preserve">, the circle </w:t>
      </w:r>
      <w:proofErr w:type="spellStart"/>
      <w:r w:rsidRPr="004E0400">
        <w:rPr>
          <w:rFonts w:ascii="Times New Roman" w:hAnsi="Times New Roman" w:cs="Times New Roman"/>
          <w:sz w:val="24"/>
          <w:szCs w:val="24"/>
          <w:lang w:val="en-US"/>
        </w:rPr>
        <w:t>Dueré</w:t>
      </w:r>
      <w:proofErr w:type="spellEnd"/>
      <w:r w:rsidRPr="004E0400">
        <w:rPr>
          <w:rFonts w:ascii="Times New Roman" w:hAnsi="Times New Roman" w:cs="Times New Roman"/>
          <w:sz w:val="24"/>
          <w:szCs w:val="24"/>
          <w:lang w:val="en-US"/>
        </w:rPr>
        <w:t xml:space="preserve"> and the triangle </w:t>
      </w:r>
      <w:proofErr w:type="spellStart"/>
      <w:r w:rsidRPr="004E0400">
        <w:rPr>
          <w:rFonts w:ascii="Times New Roman" w:hAnsi="Times New Roman" w:cs="Times New Roman"/>
          <w:sz w:val="24"/>
          <w:szCs w:val="24"/>
          <w:lang w:val="en-US"/>
        </w:rPr>
        <w:t>Formoso</w:t>
      </w:r>
      <w:proofErr w:type="spellEnd"/>
      <w:r w:rsidRPr="004E0400">
        <w:rPr>
          <w:rFonts w:ascii="Times New Roman" w:hAnsi="Times New Roman" w:cs="Times New Roman"/>
          <w:sz w:val="24"/>
          <w:szCs w:val="24"/>
          <w:lang w:val="en-US"/>
        </w:rPr>
        <w:t xml:space="preserve"> do Araguaia.</w:t>
      </w:r>
    </w:p>
    <w:p w:rsidR="004E0400" w:rsidRPr="004E0400" w:rsidRDefault="004E0400" w:rsidP="004E040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E0400" w:rsidRPr="004E0400" w:rsidRDefault="004E0400" w:rsidP="004E0400">
      <w:pPr>
        <w:pStyle w:val="EndNoteBibliograph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E0400">
        <w:rPr>
          <w:rFonts w:ascii="Times New Roman" w:hAnsi="Times New Roman" w:cs="Times New Roman"/>
          <w:sz w:val="24"/>
          <w:szCs w:val="24"/>
        </w:rPr>
        <w:t>Table1: Questions used to deliver the in-person interviews. The first group of questions was designed to investigate the daily use of fire among residents. The second group of questions addressed the mitigation behaviors of interviewees</w:t>
      </w:r>
    </w:p>
    <w:p w:rsidR="004E0400" w:rsidRPr="004E0400" w:rsidRDefault="004E0400" w:rsidP="004E04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400">
        <w:rPr>
          <w:rFonts w:ascii="Times New Roman" w:hAnsi="Times New Roman" w:cs="Times New Roman"/>
          <w:sz w:val="24"/>
          <w:szCs w:val="24"/>
        </w:rPr>
        <w:t xml:space="preserve">Table 2: Population and social structure of the studied municipalities in the state of Tocantins. Elementary school </w:t>
      </w:r>
      <w:proofErr w:type="spellStart"/>
      <w:r w:rsidRPr="004E0400">
        <w:rPr>
          <w:rFonts w:ascii="Times New Roman" w:hAnsi="Times New Roman" w:cs="Times New Roman"/>
          <w:sz w:val="24"/>
          <w:szCs w:val="24"/>
        </w:rPr>
        <w:t>inc.</w:t>
      </w:r>
      <w:proofErr w:type="spellEnd"/>
      <w:r w:rsidRPr="004E0400">
        <w:rPr>
          <w:rFonts w:ascii="Times New Roman" w:hAnsi="Times New Roman" w:cs="Times New Roman"/>
          <w:sz w:val="24"/>
          <w:szCs w:val="24"/>
        </w:rPr>
        <w:t xml:space="preserve"> stands for elementary school incomplete.</w:t>
      </w:r>
    </w:p>
    <w:p w:rsidR="004E0400" w:rsidRPr="004E0400" w:rsidRDefault="004E0400" w:rsidP="004E04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400">
        <w:rPr>
          <w:rFonts w:ascii="Times New Roman" w:hAnsi="Times New Roman" w:cs="Times New Roman"/>
          <w:sz w:val="24"/>
          <w:szCs w:val="24"/>
        </w:rPr>
        <w:t>Table 3: Perception of fire risk within three municipalities in the state of Tocantins.</w:t>
      </w:r>
    </w:p>
    <w:p w:rsidR="004E0400" w:rsidRPr="004E0400" w:rsidRDefault="004E0400" w:rsidP="004E04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400">
        <w:rPr>
          <w:rFonts w:ascii="Times New Roman" w:hAnsi="Times New Roman" w:cs="Times New Roman"/>
          <w:sz w:val="24"/>
          <w:szCs w:val="24"/>
        </w:rPr>
        <w:t>Table 4: Personal opinions about fire mitigation strategies that interviewees consider useful to reduce fire impacts.</w:t>
      </w:r>
    </w:p>
    <w:p w:rsidR="004E0400" w:rsidRPr="004E0400" w:rsidRDefault="004E0400" w:rsidP="004E04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400">
        <w:rPr>
          <w:rFonts w:ascii="Times New Roman" w:hAnsi="Times New Roman" w:cs="Times New Roman"/>
          <w:sz w:val="24"/>
          <w:szCs w:val="24"/>
          <w:lang w:val="en-US"/>
        </w:rPr>
        <w:t xml:space="preserve">Table 5: Pairwise comparisons among municipalities (p-value is &lt;0.05). The independent variables shown are only those that displayed significant differences. In the table, </w:t>
      </w:r>
      <w:proofErr w:type="spellStart"/>
      <w:r w:rsidRPr="004E0400">
        <w:rPr>
          <w:rFonts w:ascii="Times New Roman" w:hAnsi="Times New Roman" w:cs="Times New Roman"/>
          <w:sz w:val="24"/>
          <w:szCs w:val="24"/>
          <w:lang w:val="en-US"/>
        </w:rPr>
        <w:t>df</w:t>
      </w:r>
      <w:proofErr w:type="spellEnd"/>
      <w:r w:rsidRPr="004E0400">
        <w:rPr>
          <w:rFonts w:ascii="Times New Roman" w:hAnsi="Times New Roman" w:cs="Times New Roman"/>
          <w:sz w:val="24"/>
          <w:szCs w:val="24"/>
          <w:lang w:val="en-US"/>
        </w:rPr>
        <w:t xml:space="preserve"> stands for “Degrees of Freedom”, M for “Mean” and SD for “Standard deviation”. M and SD are given for the two municipalities of pairwise comparison.</w:t>
      </w:r>
    </w:p>
    <w:p w:rsidR="004E0400" w:rsidRPr="004E0400" w:rsidRDefault="004E0400" w:rsidP="004E040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E0400" w:rsidRPr="004E0400" w:rsidRDefault="004E0400" w:rsidP="004E0400">
      <w:pPr>
        <w:spacing w:line="360" w:lineRule="auto"/>
        <w:rPr>
          <w:rFonts w:ascii="Arial" w:hAnsi="Arial" w:cs="Arial"/>
          <w:sz w:val="24"/>
          <w:szCs w:val="24"/>
        </w:rPr>
      </w:pPr>
      <w:r w:rsidRPr="004E0400">
        <w:rPr>
          <w:rFonts w:ascii="Times New Roman" w:hAnsi="Times New Roman" w:cs="Times New Roman"/>
          <w:sz w:val="24"/>
          <w:szCs w:val="24"/>
          <w:lang w:val="en-US"/>
        </w:rPr>
        <w:t xml:space="preserve">Table 6: Pairwise comparisons among educational attainment categories (p-value is &lt;0.05). The independent variables shown are the only ones that displayed significant differences between fire mitigation behaviors. In the table, </w:t>
      </w:r>
      <w:proofErr w:type="spellStart"/>
      <w:r w:rsidRPr="004E0400">
        <w:rPr>
          <w:rFonts w:ascii="Times New Roman" w:hAnsi="Times New Roman" w:cs="Times New Roman"/>
          <w:sz w:val="24"/>
          <w:szCs w:val="24"/>
          <w:lang w:val="en-US"/>
        </w:rPr>
        <w:t>df</w:t>
      </w:r>
      <w:proofErr w:type="spellEnd"/>
      <w:r w:rsidRPr="004E0400">
        <w:rPr>
          <w:rFonts w:ascii="Times New Roman" w:hAnsi="Times New Roman" w:cs="Times New Roman"/>
          <w:sz w:val="24"/>
          <w:szCs w:val="24"/>
          <w:lang w:val="en-US"/>
        </w:rPr>
        <w:t xml:space="preserve"> stand for “Degrees of Freedom”, M for “Mean” and SD for </w:t>
      </w:r>
      <w:r w:rsidRPr="004E0400">
        <w:rPr>
          <w:rFonts w:ascii="Times New Roman" w:hAnsi="Times New Roman" w:cs="Times New Roman"/>
          <w:sz w:val="24"/>
          <w:szCs w:val="24"/>
          <w:lang w:val="en-US"/>
        </w:rPr>
        <w:lastRenderedPageBreak/>
        <w:t>“Standard deviation”. M and SD are given for the educational qualifications of the groups in each pairwise comparison.</w:t>
      </w:r>
    </w:p>
    <w:p w:rsidR="005D1DA8" w:rsidRDefault="005D1DA8"/>
    <w:sectPr w:rsidR="005D1DA8" w:rsidSect="004160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FE6" w:rsidRDefault="004E0400">
      <w:pPr>
        <w:spacing w:after="0" w:line="240" w:lineRule="auto"/>
      </w:pPr>
      <w:r>
        <w:separator/>
      </w:r>
    </w:p>
  </w:endnote>
  <w:endnote w:type="continuationSeparator" w:id="0">
    <w:p w:rsidR="00102FE6" w:rsidRDefault="004E0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A37" w:rsidRDefault="00510A3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CA4" w:rsidRPr="00510A37" w:rsidRDefault="00510A37" w:rsidP="00510A3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A37" w:rsidRDefault="00510A3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FE6" w:rsidRDefault="004E0400">
      <w:pPr>
        <w:spacing w:after="0" w:line="240" w:lineRule="auto"/>
      </w:pPr>
      <w:r>
        <w:separator/>
      </w:r>
    </w:p>
  </w:footnote>
  <w:footnote w:type="continuationSeparator" w:id="0">
    <w:p w:rsidR="00102FE6" w:rsidRDefault="004E0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A37" w:rsidRDefault="00510A3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A37" w:rsidRDefault="00510A3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A37" w:rsidRDefault="00510A3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D3"/>
    <w:rsid w:val="000038D3"/>
    <w:rsid w:val="00102FE6"/>
    <w:rsid w:val="004E0400"/>
    <w:rsid w:val="00510A37"/>
    <w:rsid w:val="005D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38D3"/>
    <w:pPr>
      <w:spacing w:line="256" w:lineRule="auto"/>
    </w:pPr>
    <w:rPr>
      <w:rFonts w:ascii="Calibri" w:eastAsia="Calibri" w:hAnsi="Calibri" w:cs="Calibri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0038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38D3"/>
    <w:rPr>
      <w:rFonts w:ascii="Calibri" w:eastAsia="Calibri" w:hAnsi="Calibri" w:cs="Calibri"/>
      <w:lang w:val="en-GB"/>
    </w:rPr>
  </w:style>
  <w:style w:type="character" w:styleId="Numeroriga">
    <w:name w:val="line number"/>
    <w:basedOn w:val="Carpredefinitoparagrafo"/>
    <w:uiPriority w:val="99"/>
    <w:semiHidden/>
    <w:unhideWhenUsed/>
    <w:rsid w:val="000038D3"/>
  </w:style>
  <w:style w:type="paragraph" w:customStyle="1" w:styleId="EndNoteBibliography">
    <w:name w:val="EndNote Bibliography"/>
    <w:basedOn w:val="Normale"/>
    <w:link w:val="EndNoteBibliographyChar"/>
    <w:rsid w:val="004E0400"/>
    <w:pPr>
      <w:spacing w:line="240" w:lineRule="auto"/>
      <w:jc w:val="both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locked/>
    <w:rsid w:val="004E0400"/>
    <w:rPr>
      <w:rFonts w:ascii="Calibri" w:eastAsia="Calibri" w:hAnsi="Calibri" w:cs="Calibri"/>
      <w:noProof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510A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0A37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2017-01-13T11:42:00Z</dcterms:created>
  <dcterms:modified xsi:type="dcterms:W3CDTF">2017-01-13T11:43:00Z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ACS Chemical Biology</vt:lpwstr>
  </property>
</Properties>
</file>