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1E" w:rsidRPr="00D96176" w:rsidRDefault="00AA2B96" w:rsidP="00DB4D1E">
      <w:pPr>
        <w:spacing w:line="480" w:lineRule="auto"/>
        <w:rPr>
          <w:b/>
          <w:lang w:val="en-GB"/>
        </w:rPr>
      </w:pPr>
      <w:r>
        <w:rPr>
          <w:b/>
          <w:lang w:val="en-GB"/>
        </w:rPr>
        <w:t>Figure captions</w:t>
      </w:r>
    </w:p>
    <w:p w:rsidR="00DB4D1E" w:rsidRPr="009B7A10" w:rsidRDefault="00DB4D1E" w:rsidP="00DB4D1E">
      <w:pPr>
        <w:pStyle w:val="Didascalia"/>
        <w:spacing w:line="480" w:lineRule="auto"/>
        <w:rPr>
          <w:rStyle w:val="hps"/>
          <w:b w:val="0"/>
          <w:color w:val="auto"/>
          <w:sz w:val="20"/>
          <w:szCs w:val="20"/>
          <w:lang w:val="en-GB"/>
        </w:rPr>
      </w:pPr>
      <w:r>
        <w:rPr>
          <w:rStyle w:val="hps"/>
          <w:color w:val="auto"/>
          <w:sz w:val="20"/>
          <w:szCs w:val="20"/>
          <w:lang w:val="en-GB"/>
        </w:rPr>
        <w:t>Fig.</w:t>
      </w:r>
      <w:r w:rsidRPr="009B7A10">
        <w:rPr>
          <w:rStyle w:val="hps"/>
          <w:color w:val="auto"/>
          <w:sz w:val="20"/>
          <w:szCs w:val="20"/>
          <w:lang w:val="en-GB"/>
        </w:rPr>
        <w:t xml:space="preserve"> 1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 xml:space="preserve"> Bagnouls &amp; Gaussen diagram for the vegetative period 2014 in the study area</w:t>
      </w:r>
    </w:p>
    <w:p w:rsidR="00DB4D1E" w:rsidRPr="009B7A10" w:rsidRDefault="00DB4D1E" w:rsidP="00DB4D1E">
      <w:pPr>
        <w:pStyle w:val="Didascalia"/>
        <w:spacing w:line="480" w:lineRule="auto"/>
        <w:rPr>
          <w:b w:val="0"/>
          <w:color w:val="auto"/>
          <w:sz w:val="20"/>
          <w:szCs w:val="20"/>
          <w:lang w:val="en-GB"/>
        </w:rPr>
      </w:pPr>
      <w:r w:rsidRPr="009B7A10">
        <w:rPr>
          <w:color w:val="auto"/>
          <w:sz w:val="20"/>
          <w:szCs w:val="20"/>
          <w:lang w:val="en-GB"/>
        </w:rPr>
        <w:t>Fig</w:t>
      </w:r>
      <w:r>
        <w:rPr>
          <w:color w:val="auto"/>
          <w:sz w:val="20"/>
          <w:szCs w:val="20"/>
          <w:lang w:val="en-GB"/>
        </w:rPr>
        <w:t>.</w:t>
      </w:r>
      <w:r w:rsidRPr="009B7A10">
        <w:rPr>
          <w:color w:val="auto"/>
          <w:sz w:val="20"/>
          <w:szCs w:val="20"/>
          <w:lang w:val="en-GB"/>
        </w:rPr>
        <w:t xml:space="preserve">  2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Percentage of trees under each category of survival and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vegetative status</w:t>
      </w:r>
    </w:p>
    <w:p w:rsidR="00DB4D1E" w:rsidRPr="009B7A10" w:rsidRDefault="00DB4D1E" w:rsidP="00DB4D1E">
      <w:pPr>
        <w:pStyle w:val="Didascalia"/>
        <w:keepNext/>
        <w:spacing w:line="480" w:lineRule="auto"/>
        <w:rPr>
          <w:sz w:val="20"/>
          <w:szCs w:val="20"/>
          <w:lang w:val="en-GB"/>
        </w:rPr>
      </w:pPr>
      <w:r w:rsidRPr="009B7A10">
        <w:rPr>
          <w:color w:val="auto"/>
          <w:sz w:val="20"/>
          <w:szCs w:val="20"/>
          <w:lang w:val="en-GB"/>
        </w:rPr>
        <w:t>Fig</w:t>
      </w:r>
      <w:r>
        <w:rPr>
          <w:color w:val="auto"/>
          <w:sz w:val="20"/>
          <w:szCs w:val="20"/>
          <w:lang w:val="en-GB"/>
        </w:rPr>
        <w:t>.</w:t>
      </w:r>
      <w:r w:rsidRPr="009B7A10">
        <w:rPr>
          <w:color w:val="auto"/>
          <w:sz w:val="20"/>
          <w:szCs w:val="20"/>
          <w:lang w:val="en-GB"/>
        </w:rPr>
        <w:t xml:space="preserve"> 3</w:t>
      </w:r>
      <w:r w:rsidRPr="009B7A10">
        <w:rPr>
          <w:b w:val="0"/>
          <w:color w:val="auto"/>
          <w:sz w:val="20"/>
          <w:szCs w:val="20"/>
          <w:lang w:val="en-GB"/>
        </w:rPr>
        <w:t xml:space="preserve"> Mean walnut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diameter growth in 2014, subject to different weeding techniques; whiskers indicate standard error of the mean. Different letters indicate significant differences at the p&lt;0.05 level, grouping according to Tukey’s HSD post hoc test</w:t>
      </w:r>
    </w:p>
    <w:p w:rsidR="00DB4D1E" w:rsidRPr="009B7A10" w:rsidRDefault="00DB4D1E" w:rsidP="00DB4D1E">
      <w:pPr>
        <w:pStyle w:val="Didascalia"/>
        <w:spacing w:line="480" w:lineRule="auto"/>
        <w:rPr>
          <w:b w:val="0"/>
          <w:color w:val="auto"/>
          <w:sz w:val="20"/>
          <w:szCs w:val="20"/>
          <w:lang w:val="en-GB"/>
        </w:rPr>
      </w:pPr>
      <w:r w:rsidRPr="009B7A10">
        <w:rPr>
          <w:color w:val="auto"/>
          <w:sz w:val="20"/>
          <w:szCs w:val="20"/>
          <w:lang w:val="en-GB"/>
        </w:rPr>
        <w:t>Fig</w:t>
      </w:r>
      <w:r>
        <w:rPr>
          <w:color w:val="auto"/>
          <w:sz w:val="20"/>
          <w:szCs w:val="20"/>
          <w:lang w:val="en-GB"/>
        </w:rPr>
        <w:t>.</w:t>
      </w:r>
      <w:r w:rsidRPr="009B7A10">
        <w:rPr>
          <w:color w:val="auto"/>
          <w:sz w:val="20"/>
          <w:szCs w:val="20"/>
          <w:lang w:val="en-GB"/>
        </w:rPr>
        <w:t xml:space="preserve"> 4</w:t>
      </w:r>
      <w:r w:rsidRPr="009B7A10">
        <w:rPr>
          <w:b w:val="0"/>
          <w:color w:val="auto"/>
          <w:sz w:val="20"/>
          <w:szCs w:val="20"/>
          <w:lang w:val="en-GB"/>
        </w:rPr>
        <w:t xml:space="preserve"> Mean walnut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height growth in 2014, subject to different weeding techniques; whiskers indicate standard error of the mean. Different letters indicate significant differences at the p&lt;0.05 level, grouping according to Tukey’s HSD post hoc test</w:t>
      </w:r>
    </w:p>
    <w:p w:rsidR="00DB4D1E" w:rsidRPr="009B7A10" w:rsidRDefault="00DB4D1E" w:rsidP="00DB4D1E">
      <w:pPr>
        <w:pStyle w:val="Didascalia"/>
        <w:spacing w:line="480" w:lineRule="auto"/>
        <w:rPr>
          <w:b w:val="0"/>
          <w:color w:val="auto"/>
          <w:sz w:val="20"/>
          <w:szCs w:val="20"/>
          <w:lang w:val="en-GB"/>
        </w:rPr>
      </w:pPr>
      <w:r w:rsidRPr="009B7A10">
        <w:rPr>
          <w:color w:val="auto"/>
          <w:sz w:val="20"/>
          <w:szCs w:val="20"/>
          <w:lang w:val="en-GB"/>
        </w:rPr>
        <w:t>Fig</w:t>
      </w:r>
      <w:r>
        <w:rPr>
          <w:color w:val="auto"/>
          <w:sz w:val="20"/>
          <w:szCs w:val="20"/>
          <w:lang w:val="en-GB"/>
        </w:rPr>
        <w:t>.</w:t>
      </w:r>
      <w:r w:rsidRPr="009B7A10">
        <w:rPr>
          <w:color w:val="auto"/>
          <w:sz w:val="20"/>
          <w:szCs w:val="20"/>
          <w:lang w:val="en-GB"/>
        </w:rPr>
        <w:t xml:space="preserve"> 5</w:t>
      </w:r>
      <w:r w:rsidRPr="009B7A10">
        <w:rPr>
          <w:b w:val="0"/>
          <w:color w:val="auto"/>
          <w:sz w:val="20"/>
          <w:szCs w:val="20"/>
          <w:lang w:val="en-GB"/>
        </w:rPr>
        <w:t xml:space="preserve"> Mean biomass allocated to each tree compartment (g), as a response to the different treatments.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Whiskers indicate standard error of the mean.  Different letters indicate significant differences at the p&lt;0.05 level, grouped according to Tukey’s HSD test. Below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the graph are given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the mean total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root biomass</w:t>
      </w:r>
      <w:r w:rsidRPr="009B7A10">
        <w:rPr>
          <w:b w:val="0"/>
          <w:color w:val="auto"/>
          <w:sz w:val="20"/>
          <w:szCs w:val="20"/>
          <w:lang w:val="en-GB"/>
        </w:rPr>
        <w:t xml:space="preserve"> (belowground)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and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 xml:space="preserve">total seedling biomass, with </w:t>
      </w:r>
      <w:r w:rsidRPr="009B7A10">
        <w:rPr>
          <w:b w:val="0"/>
          <w:color w:val="auto"/>
          <w:sz w:val="20"/>
          <w:szCs w:val="20"/>
          <w:lang w:val="en-GB"/>
        </w:rPr>
        <w:t xml:space="preserve">the letters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in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brackets showing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the grouping according to Tukey’s HSD test</w:t>
      </w:r>
      <w:r w:rsidRPr="009B7A10">
        <w:rPr>
          <w:b w:val="0"/>
          <w:color w:val="auto"/>
          <w:sz w:val="20"/>
          <w:szCs w:val="20"/>
          <w:lang w:val="en-GB"/>
        </w:rPr>
        <w:t>)</w:t>
      </w:r>
    </w:p>
    <w:p w:rsidR="00DB4D1E" w:rsidRPr="009B7A10" w:rsidRDefault="00DB4D1E" w:rsidP="00DB4D1E">
      <w:pPr>
        <w:pStyle w:val="Didascalia"/>
        <w:spacing w:line="480" w:lineRule="auto"/>
        <w:rPr>
          <w:b w:val="0"/>
          <w:color w:val="auto"/>
          <w:sz w:val="20"/>
          <w:szCs w:val="20"/>
          <w:lang w:val="en-GB"/>
        </w:rPr>
      </w:pPr>
      <w:r w:rsidRPr="009B7A10">
        <w:rPr>
          <w:color w:val="auto"/>
          <w:sz w:val="20"/>
          <w:szCs w:val="20"/>
          <w:lang w:val="en-GB"/>
        </w:rPr>
        <w:t>Fig</w:t>
      </w:r>
      <w:r>
        <w:rPr>
          <w:color w:val="auto"/>
          <w:sz w:val="20"/>
          <w:szCs w:val="20"/>
          <w:lang w:val="en-GB"/>
        </w:rPr>
        <w:t>.</w:t>
      </w:r>
      <w:r w:rsidRPr="009B7A10">
        <w:rPr>
          <w:color w:val="auto"/>
          <w:sz w:val="20"/>
          <w:szCs w:val="20"/>
          <w:lang w:val="en-GB"/>
        </w:rPr>
        <w:t xml:space="preserve"> 6</w:t>
      </w:r>
      <w:r w:rsidRPr="009B7A10">
        <w:rPr>
          <w:b w:val="0"/>
          <w:color w:val="auto"/>
          <w:sz w:val="20"/>
          <w:szCs w:val="20"/>
          <w:lang w:val="en-GB"/>
        </w:rPr>
        <w:t xml:space="preserve"> Mean relative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allocation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of biomass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in each</w:t>
      </w:r>
      <w:r w:rsidRPr="009B7A10">
        <w:rPr>
          <w:b w:val="0"/>
          <w:color w:val="auto"/>
          <w:sz w:val="20"/>
          <w:szCs w:val="20"/>
          <w:lang w:val="en-GB"/>
        </w:rPr>
        <w:t xml:space="preserve">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compartment, with respect to total</w:t>
      </w:r>
      <w:r w:rsidRPr="009B7A10">
        <w:rPr>
          <w:b w:val="0"/>
          <w:color w:val="auto"/>
          <w:sz w:val="20"/>
          <w:szCs w:val="20"/>
          <w:lang w:val="en-GB"/>
        </w:rPr>
        <w:t xml:space="preserve"> tree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biomass (%)</w:t>
      </w:r>
      <w:r w:rsidRPr="009B7A10">
        <w:rPr>
          <w:b w:val="0"/>
          <w:color w:val="auto"/>
          <w:sz w:val="20"/>
          <w:szCs w:val="20"/>
          <w:lang w:val="en-GB"/>
        </w:rPr>
        <w:t xml:space="preserve">;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whiskers indicate standard error of the mean. Different letters indicate significant differences (p&lt;0.05), grouped by Tukey’s HSD test</w:t>
      </w:r>
    </w:p>
    <w:p w:rsidR="00DB4D1E" w:rsidRPr="009B7A10" w:rsidRDefault="00DB4D1E" w:rsidP="00DB4D1E">
      <w:pPr>
        <w:pStyle w:val="Didascalia"/>
        <w:spacing w:line="480" w:lineRule="auto"/>
        <w:rPr>
          <w:b w:val="0"/>
          <w:color w:val="auto"/>
          <w:sz w:val="20"/>
          <w:szCs w:val="20"/>
          <w:lang w:val="en-GB"/>
        </w:rPr>
      </w:pPr>
      <w:r w:rsidRPr="009B7A10">
        <w:rPr>
          <w:color w:val="auto"/>
          <w:sz w:val="20"/>
          <w:szCs w:val="20"/>
          <w:lang w:val="en-GB"/>
        </w:rPr>
        <w:t>Fig</w:t>
      </w:r>
      <w:r>
        <w:rPr>
          <w:color w:val="auto"/>
          <w:sz w:val="20"/>
          <w:szCs w:val="20"/>
          <w:lang w:val="en-GB"/>
        </w:rPr>
        <w:t>.</w:t>
      </w:r>
      <w:r w:rsidRPr="009B7A10">
        <w:rPr>
          <w:color w:val="auto"/>
          <w:sz w:val="20"/>
          <w:szCs w:val="20"/>
          <w:lang w:val="en-GB"/>
        </w:rPr>
        <w:t xml:space="preserve"> 7</w:t>
      </w:r>
      <w:r w:rsidRPr="009B7A10">
        <w:rPr>
          <w:b w:val="0"/>
          <w:color w:val="auto"/>
          <w:sz w:val="20"/>
          <w:szCs w:val="20"/>
          <w:lang w:val="en-GB"/>
        </w:rPr>
        <w:t xml:space="preserve"> Mean 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root:shoot ratio for the different weeding treatment</w:t>
      </w:r>
      <w:r w:rsidRPr="009B7A10">
        <w:rPr>
          <w:b w:val="0"/>
          <w:color w:val="auto"/>
          <w:sz w:val="20"/>
          <w:szCs w:val="20"/>
          <w:lang w:val="en-GB"/>
        </w:rPr>
        <w:t>s</w:t>
      </w:r>
      <w:r w:rsidRPr="009B7A10">
        <w:rPr>
          <w:rStyle w:val="hps"/>
          <w:b w:val="0"/>
          <w:color w:val="auto"/>
          <w:sz w:val="20"/>
          <w:szCs w:val="20"/>
          <w:lang w:val="en-GB"/>
        </w:rPr>
        <w:t>; whiskers indicate mean standard error.  Different letters indicate significant differences (p&lt;0.05), grouped by Tukey’s HSD test</w:t>
      </w:r>
    </w:p>
    <w:p w:rsidR="009A5A89" w:rsidRPr="00DB4D1E" w:rsidRDefault="009A5A89">
      <w:pPr>
        <w:rPr>
          <w:lang w:val="en-GB"/>
        </w:rPr>
      </w:pPr>
    </w:p>
    <w:sectPr w:rsidR="009A5A89" w:rsidRPr="00DB4D1E" w:rsidSect="00DB4D1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B4D1E"/>
    <w:rsid w:val="0007228F"/>
    <w:rsid w:val="006E610D"/>
    <w:rsid w:val="009A5A89"/>
    <w:rsid w:val="00AA2B96"/>
    <w:rsid w:val="00B51DF7"/>
    <w:rsid w:val="00DB4D1E"/>
    <w:rsid w:val="00F6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D1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rsid w:val="00DB4D1E"/>
    <w:rPr>
      <w:rFonts w:cs="Times New Roman"/>
    </w:rPr>
  </w:style>
  <w:style w:type="paragraph" w:styleId="Didascalia">
    <w:name w:val="caption"/>
    <w:basedOn w:val="Normale"/>
    <w:next w:val="Normale"/>
    <w:qFormat/>
    <w:rsid w:val="00DB4D1E"/>
    <w:pPr>
      <w:spacing w:line="240" w:lineRule="auto"/>
    </w:pPr>
    <w:rPr>
      <w:rFonts w:eastAsia="Times New Roman"/>
      <w:b/>
      <w:bCs/>
      <w:color w:val="4F81BD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</cp:lastModifiedBy>
  <cp:revision>2</cp:revision>
  <dcterms:created xsi:type="dcterms:W3CDTF">2016-04-18T10:13:00Z</dcterms:created>
  <dcterms:modified xsi:type="dcterms:W3CDTF">2016-04-18T12:03:00Z</dcterms:modified>
</cp:coreProperties>
</file>